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gbicc:emptyAbove="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广发盛兴混合型证券投资基金（广发盛兴混合A）基金产品资料概要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w:t>
      </w:r>
      <w:r w:rsidRPr="00707C6B">
        <w:rPr>
          <w:rFonts w:ascii="仿宋" w:eastAsia="仿宋" w:hAnsi="仿宋" w:cs="方正仿宋简体" w:hint="eastAsia"/>
          <w:iCs/>
          <w:sz w:val="24"/>
          <w:szCs w:val="24"/>
        </w:rPr>
        <w:t>2021年1月12日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w:t>
      </w:r>
      <w:r w:rsidR="00EE0C11" w:rsidRPr="00707C6B">
        <w:rPr>
          <w:rFonts w:ascii="仿宋" w:eastAsia="仿宋" w:hAnsi="仿宋" w:cs="方正仿宋简体" w:hint="eastAsia"/>
          <w:iCs/>
          <w:sz w:val="24"/>
          <w:szCs w:val="24"/>
        </w:rPr>
        <w:t>2021年1月16日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作出投资决定前，请阅读完整的招募说明书等销售文件。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gbicc:emptyAbove="1">
      <w:pPr gbicc:listString="一、" gbicc:numText="%1、" gbicc:numFmt="C" gbicc:numVal="1"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广发盛兴混合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011136</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广发盛兴混合A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011136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中国工商银行股份有限公司</w:t>
            </w:r>
            <w:r w:rsidR="00EE0C11" w:rsidRPr="00707C6B">
              <w:rPr>
                <w:rFonts w:ascii="仿宋" w:eastAsia="仿宋" w:hAnsi="仿宋" w:cs="方正仿宋简体" w:hint="eastAsia"/>
                <w:iCs/>
              </w:rPr>
              <w:t xml:space="preserve">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hint="eastAsia"/>
                <w:color w:val="333399"/>
              </w:rPr>
              <w:t/>
            </w:r>
            <w:r w:rsidR="00EE0C11" w:rsidRPr="00707C6B">
              <w:rPr>
                <w:rFonts w:ascii="仿宋" w:eastAsia="仿宋" w:hAnsi="仿宋" w:cs="方正仿宋简体" w:hint="eastAsia"/>
                <w:iCs/>
              </w:rPr>
              <w:t xml:space="preserve">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人民币</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费逸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2010-07-06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gbicc:emptyAbove="1">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本基金在有效控制组合风险并保持良好流动性的前提下，通过对公司及行业所处的基本面进行深入分析和把握，精选优势个股，力争实现基金资产的长期稳健增值。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的投资范围为具有良好流动性的金融工具，包括国内依法发行上市的股票（包括中小板、创业板及其他依法发行、上市的股票）、港股通标的股票、债券（包括国债、地方政府债、金融债、企业债、公司债、公开发行的次级债、可转换债券（含分离交易可转债）、可交换债券、永续债、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如法律法规或监管机构以后允许基金投资其他品种，基金管理人在履行适当程序后，可以将其纳入投资范围。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1、资产配置策略；2、股票投资策略；3、债券投资策略；4、资产支持证券投资策略；5、金融衍生品投资策略。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沪深300指数收益率×60%+人民币计价的恒生指数收益率×20%＋中证全债指数收益率×20%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本基金投资于港股通标的股票，会面临港股通机制下因投资环境、投资标的、市场制度以及交易规则等差异带来的特有风险，包括港股市场股价波动较大的风险、汇率风险、港股通机制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w:t>
      </w:r>
      <w:r w:rsidRPr="00707C6B">
        <w:rPr>
          <w:rFonts w:ascii="仿宋" w:eastAsia="仿宋" w:hAnsi="仿宋" w:cs="方正仿宋简体" w:hint="eastAsia"/>
          <w:iCs/>
          <w:szCs w:val="24"/>
        </w:rPr>
        <w:t>详见《广发盛兴混合型证券投资基金招募说明书》及其更新文件中“基金的投资”。</w:t>
      </w:r>
    </w:p>
    <w:p w:rsidR="000612DA" w:rsidRPr="00707C6B" w:rsidRDefault="00F011DF">
      <w:pPr>
        <w:spacing w:line="280" w:lineRule="exact"/>
        <w:rPr>
          <w:rFonts w:ascii="仿宋" w:eastAsia="仿宋" w:hAnsi="仿宋" w:cs="仿宋_GB2312"/>
          <w:kern w:val="0"/>
          <w:szCs w:val="24"/>
        </w:rPr>
      </w:pPr>
    </w:p>
    <w:p w:rsidR="000612DA" w:rsidRPr="00707C6B" w:rsidRDefault="00EE0C11" gbicc:emptyAbove="1">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F011DF" w:rsidP="00265B51" gbicc:emptyAbove="1">
      <w:pPr>
        <w:jc w:val="left"/>
        <w:rPr>
          <w:rFonts w:ascii="仿宋" w:eastAsia="仿宋" w:hAnsi="仿宋" w:cs="方正仿宋简体"/>
          <w:b/>
          <w:iCs/>
          <w:sz w:val="24"/>
          <w:szCs w:val="24"/>
        </w:rPr>
      </w:pPr>
      <w:r w:rsidR="00EE0C11" w:rsidRPr="00707C6B">
        <w:rPr>
          <w:rFonts w:ascii="仿宋" w:eastAsia="仿宋" w:hAnsi="仿宋"/>
          <w:color w:val="000000" w:themeColor="text1"/>
        </w:rPr>
        <w:t>无</w:t>
      </w:r>
    </w:p>
    <w:p w:rsidR="000612DA" w:rsidRPr="00707C6B" w:rsidRDefault="00EE0C11">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F011DF" gbicc:emptyAbove="2">
      <w:pPr>
        <w:autoSpaceDE w:val="0"/>
        <w:autoSpaceDN w:val="0"/>
        <w:adjustRightInd w:val="0"/>
        <w:spacing w:line="280" w:lineRule="exact"/>
        <w:jc w:val="left"/>
        <w:rPr>
          <w:rFonts w:ascii="仿宋" w:eastAsia="仿宋" w:hAnsi="仿宋"/>
          <w:color w:val="000000" w:themeColor="text1"/>
        </w:rPr>
      </w:pPr>
      <w:r w:rsidR="00EE0C11"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gbicc:emptyAbove="1">
      <w:pPr gbicc:listString="三、" gbicc:numText="%1、" gbicc:numFmt="C" gbicc:numVal="3"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gbicc:listString="（一）" gbicc:numText="（%1）" gbicc:numFmt="J" gbicc:numVal="1" gbicc:numId="25">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bookmarkEnd w:id="0" w:displacedByCustomXml="prev"/>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744"/>
        <w:gridCol w:w="3034"/>
        <w:gridCol w:w="1583"/>
        <w:gridCol w:w="2493"/>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1.20%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0.80%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0.60%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0.12%</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0.08%</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0.06%</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0.80%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0.15%</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0.10%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0.08%</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0.75%</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180日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180日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365日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0.30%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365日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bl>
    <w:p w:rsidR="000612DA" w:rsidRPr="00707C6B" w:rsidRDefault="00F011DF">
      <w:pPr>
        <w:autoSpaceDE w:val="0"/>
        <w:autoSpaceDN w:val="0"/>
        <w:adjustRightInd w:val="0"/>
        <w:spacing w:line="280" w:lineRule="exact"/>
        <w:jc w:val="left"/>
        <w:rPr>
          <w:rFonts w:ascii="仿宋" w:eastAsia="仿宋" w:hAnsi="仿宋" w:cs="方正仿宋简体"/>
          <w:iCs/>
        </w:rPr>
      </w:pPr>
      <w:r w:rsidR="00EE0C11" w:rsidRPr="00707C6B">
        <w:rPr>
          <w:rFonts w:ascii="仿宋" w:eastAsia="仿宋" w:hAnsi="仿宋" w:cs="方正仿宋简体" w:hint="eastAsia"/>
          <w:b/>
          <w:iCs/>
        </w:rPr>
        <w:t>注：</w:t>
      </w:r>
      <w:r>
        <w:rPr>
          <w:rFonts w:ascii="仿宋" w:eastAsia="仿宋" w:hAnsi="仿宋" w:cs="方正仿宋简体" w:hint="eastAsia"/>
          <w:iCs/>
        </w:rPr>
        <w:t xml:space="preserve">1、本基金的认/申购费用由投资者承担，可用于市场推广、销售、注册登记等各项费用，不列入基金资产；基金销售机构可以对销售费用实行一定的优惠，具体以实际收取为准。</w:t>
      </w:r>
    </w:p>
    <w:p w:rsidR="000612DA" w:rsidRPr="00707C6B" w:rsidRDefault="00F011DF">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 xml:space="preserve">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gbicc:emptyAbove="1">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F011DF" w:rsidP="003D461D">
            <w:pPr>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基金合同》生效后与基金相关的信息披露费用、会计师费、律师费、诉讼费、基金份额持有人大会费用、证券交易费用、银行汇划费用、账户开户费用和账户维护费、因投资港股通标的股票而产生的各项合理费用、以及按照国家有关规定和《基金合同》约定，可以在基金财产中列支的其他费用。</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r>
    </w:tbl>
    <w:p w:rsidR="000612DA" w:rsidRPr="00707C6B" w:rsidRDefault="00F011DF">
      <w:pPr>
        <w:autoSpaceDE w:val="0"/>
        <w:autoSpaceDN w:val="0"/>
        <w:adjustRightInd w:val="0"/>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注：</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gbicc:emptyAbove="1">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（1）投资港股通标的股票的风险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2）本基金《基金合同》生效后，连续五十个工作日出现基金份额持有人数量不满200人或者基金资产净值低于5000万元人民币的情形，基金管理人应当终止基金合同，并按照基金合同的约定程序进行清算，不需要召开基金份额持有人大会进行表决。法律法规或中国证监会另有规定时，从其规定。</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（3）本基金是混合型基金，既能投资股票，亦能投资债券，因此股票、债券等市场的变化均会影响到本基金的业绩表现。</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4）本基金投资于国债期货、股指期货等金融衍生品可能给本基金带来额外风险。投资股指期货的风险包括基差风险、合约品种差异造成的风险、标的物风险、衍生品模型风险等；投资国债期货的风险包括市场风险、基差风险、流动性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（5）本基金可投资资产支持证券，主要风险包括流动性风险、利率风险及评级风险等。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2、投资科创板的风险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3、开放式基金的共有风险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4、其他风险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gbicc:emptyAbove="1">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（1）《广发盛兴混合型证券投资基金基金合同》</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（2）《广发盛兴混合型证券投资基金托管协议》</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（3）《广发盛兴混合型证券投资基金招募说明书》</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133309" w:rsidRPr="00133309" w:rsidSect="008A5B3B">
      <w:footerReference w:type="default" r:id="rId2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DF" w:rsidRDefault="00F011DF" w:rsidP="0092395F">
      <w:r>
        <w:separator/>
      </w:r>
    </w:p>
  </w:endnote>
  <w:endnote w:type="continuationSeparator" w:id="0">
    <w:p w:rsidR="00F011DF" w:rsidRDefault="00F011D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4ACC">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4ACC">
              <w:rPr>
                <w:b/>
                <w:bCs/>
                <w:noProof/>
              </w:rPr>
              <w:t>16</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DF" w:rsidRDefault="00F011DF" w:rsidP="0092395F">
      <w:r>
        <w:separator/>
      </w:r>
    </w:p>
  </w:footnote>
  <w:footnote w:type="continuationSeparator" w:id="0">
    <w:p w:rsidR="00F011DF" w:rsidRDefault="00F011DF"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24ACC"/>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11DF"/>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3A9C"/>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2652E-BC04-43D4-B42D-196E504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charts/chart9.xml" Type="http://schemas.openxmlformats.org/officeDocument/2006/relationships/chart"/>
<Relationship Id="rId20" Target="charts/chart10.xml" Type="http://schemas.openxmlformats.org/officeDocument/2006/relationships/chart"/>
<Relationship Id="rId21" Target="charts/chart11.xml" Type="http://schemas.openxmlformats.org/officeDocument/2006/relationships/chart"/>
<Relationship Id="rId22" Target="charts/chart12.xml" Type="http://schemas.openxmlformats.org/officeDocument/2006/relationships/chart"/>
<Relationship Id="rId23" Target="footer1.xml" Type="http://schemas.openxmlformats.org/officeDocument/2006/relationships/footer"/>
<Relationship Id="rId24" Target="fontTable.xml" Type="http://schemas.openxmlformats.org/officeDocument/2006/relationships/fontTable"/>
<Relationship Id="rId25" Target="glossary/document.xml" Type="http://schemas.openxmlformats.org/officeDocument/2006/relationships/glossaryDocument"/>
<Relationship Id="rId26"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FFF"/>
    <w:rsid w:val="001123EE"/>
    <w:rsid w:val="00112FFF"/>
    <w:rsid w:val="0011621F"/>
    <w:rsid w:val="00116BAE"/>
    <w:rsid w:val="00121599"/>
    <w:rsid w:val="00127EA3"/>
    <w:rsid w:val="00162362"/>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2E7E1C"/>
    <w:rsid w:val="00311442"/>
    <w:rsid w:val="003118D2"/>
    <w:rsid w:val="003127BE"/>
    <w:rsid w:val="00317044"/>
    <w:rsid w:val="0032290F"/>
    <w:rsid w:val="00323BFD"/>
    <w:rsid w:val="00323DC1"/>
    <w:rsid w:val="00331623"/>
    <w:rsid w:val="00332AF2"/>
    <w:rsid w:val="0034367B"/>
    <w:rsid w:val="003550EA"/>
    <w:rsid w:val="003646D2"/>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3D9"/>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DD5"/>
    <w:rsid w:val="00637E49"/>
    <w:rsid w:val="00656E21"/>
    <w:rsid w:val="00660FB7"/>
    <w:rsid w:val="00662A61"/>
    <w:rsid w:val="00666964"/>
    <w:rsid w:val="00672BB9"/>
    <w:rsid w:val="00680145"/>
    <w:rsid w:val="006A0AEA"/>
    <w:rsid w:val="006A662C"/>
    <w:rsid w:val="006A70D1"/>
    <w:rsid w:val="006F084B"/>
    <w:rsid w:val="006F6C75"/>
    <w:rsid w:val="0071246B"/>
    <w:rsid w:val="00725A42"/>
    <w:rsid w:val="00754982"/>
    <w:rsid w:val="007612BB"/>
    <w:rsid w:val="00784909"/>
    <w:rsid w:val="007A7321"/>
    <w:rsid w:val="007B250C"/>
    <w:rsid w:val="007B2945"/>
    <w:rsid w:val="007B519F"/>
    <w:rsid w:val="007C1EAF"/>
    <w:rsid w:val="007D01E7"/>
    <w:rsid w:val="007D3D18"/>
    <w:rsid w:val="007F7D90"/>
    <w:rsid w:val="00804E77"/>
    <w:rsid w:val="00805628"/>
    <w:rsid w:val="0081197D"/>
    <w:rsid w:val="0081476F"/>
    <w:rsid w:val="0081559D"/>
    <w:rsid w:val="00823337"/>
    <w:rsid w:val="0082630F"/>
    <w:rsid w:val="00826E9C"/>
    <w:rsid w:val="0083139A"/>
    <w:rsid w:val="0084214F"/>
    <w:rsid w:val="0084724A"/>
    <w:rsid w:val="008509BD"/>
    <w:rsid w:val="008538C1"/>
    <w:rsid w:val="00854210"/>
    <w:rsid w:val="008648F5"/>
    <w:rsid w:val="00866A53"/>
    <w:rsid w:val="00880093"/>
    <w:rsid w:val="008909A1"/>
    <w:rsid w:val="008C1EE9"/>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858"/>
    <w:rsid w:val="009B350A"/>
    <w:rsid w:val="009B4C33"/>
    <w:rsid w:val="009B5BDB"/>
    <w:rsid w:val="009B6A40"/>
    <w:rsid w:val="009C23D7"/>
    <w:rsid w:val="009C634B"/>
    <w:rsid w:val="009C70B7"/>
    <w:rsid w:val="009D499B"/>
    <w:rsid w:val="009E4011"/>
    <w:rsid w:val="00A11BB6"/>
    <w:rsid w:val="00A1561D"/>
    <w:rsid w:val="00A174E0"/>
    <w:rsid w:val="00A22C1C"/>
    <w:rsid w:val="00A22CE8"/>
    <w:rsid w:val="00A26726"/>
    <w:rsid w:val="00A31566"/>
    <w:rsid w:val="00A36E27"/>
    <w:rsid w:val="00A516D0"/>
    <w:rsid w:val="00A819EC"/>
    <w:rsid w:val="00A936E8"/>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6792C"/>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1024"/>
    <w:rsid w:val="00DE743A"/>
    <w:rsid w:val="00E02054"/>
    <w:rsid w:val="00E051D8"/>
    <w:rsid w:val="00E23412"/>
    <w:rsid w:val="00E62A28"/>
    <w:rsid w:val="00E80993"/>
    <w:rsid w:val="00E933BE"/>
    <w:rsid w:val="00EA022C"/>
    <w:rsid w:val="00EA551D"/>
    <w:rsid w:val="00EC052D"/>
    <w:rsid w:val="00EE2435"/>
    <w:rsid w:val="00EF1ACC"/>
    <w:rsid w:val="00EF3FC1"/>
    <w:rsid w:val="00F05E3F"/>
    <w:rsid w:val="00F11153"/>
    <w:rsid w:val="00F1504D"/>
    <w:rsid w:val="00F15E85"/>
    <w:rsid w:val="00F2521D"/>
    <w:rsid w:val="00F5276A"/>
    <w:rsid w:val="00F745F4"/>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64C502F-DFF2-4961-9D2C-9D556CEC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589</TotalTime>
  <Pages>16</Pages>
  <Words>634</Words>
  <Characters>3616</Characters>
  <Application>Microsoft Office Word</Application>
  <DocSecurity>0</DocSecurity>
  <Lines>30</Lines>
  <Paragraphs>8</Paragraphs>
  <ScaleCrop>false</ScaleCrop>
  <Company>shenduxitong</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Windows 用户</cp:lastModifiedBy>
  <dcterms:modified xsi:type="dcterms:W3CDTF">2020-12-04T00:36:00Z</dcterms:modified>
  <cp:revision>90</cp:revision>
</cp:coreProperties>
</file>