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rsidR="000612DA" w:rsidRPr="00707C6B" w:rsidRDefault="000612DA">
      <w:pPr>
        <w:autoSpaceDE w:val="0"/>
        <w:autoSpaceDN w:val="0"/>
        <w:adjustRightInd w:val="0"/>
        <w:jc w:val="center"/>
        <w:rPr>
          <w:rFonts w:ascii="仿宋" w:eastAsia="仿宋" w:hAnsi="仿宋" w:cs="仿宋_GB2312"/>
          <w:kern w:val="0"/>
          <w:sz w:val="36"/>
          <w:szCs w:val="36"/>
        </w:rPr>
      </w:pPr>
      <w:bookmarkStart w:id="0" w:name="_GoBack"/>
      <w:bookmarkEnd w:id="0"/>
    </w:p>
    <w:p w:rsidR="000612DA" w:rsidRPr="00707C6B" w:rsidRDefault="00EE0C11" gbicc:emptyAbove="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广发盛兴混合型证券投资基金（广发盛兴混合C）基金产品资料概要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w:t>
      </w:r>
      <w:r w:rsidRPr="00707C6B">
        <w:rPr>
          <w:rFonts w:ascii="仿宋" w:eastAsia="仿宋" w:hAnsi="仿宋" w:cs="方正仿宋简体" w:hint="eastAsia"/>
          <w:iCs/>
          <w:sz w:val="24"/>
          <w:szCs w:val="24"/>
        </w:rPr>
        <w:t>2021年1月12日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w:t>
      </w:r>
      <w:r w:rsidR="00EE0C11" w:rsidRPr="00707C6B">
        <w:rPr>
          <w:rFonts w:ascii="仿宋" w:eastAsia="仿宋" w:hAnsi="仿宋" w:cs="方正仿宋简体" w:hint="eastAsia"/>
          <w:iCs/>
          <w:sz w:val="24"/>
          <w:szCs w:val="24"/>
        </w:rPr>
        <w:t>2021年1月16日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gbicc:emptyAbove="1">
      <w:pPr gbicc:listString="一、" gbicc:numText="%1、" gbicc:numFmt="C" gbicc:numVal="1" gbicc:numId="10">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56"/>
        <w:gridCol w:w="2785"/>
        <w:gridCol w:w="1969"/>
        <w:gridCol w:w="2844"/>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广发盛兴混合</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cs="方正仿宋简体" w:hint="eastAsia"/>
                <w:iCs/>
              </w:rPr>
              <w:t>011136</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nil"/>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广发盛兴混合C</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nil"/>
              <w:bottom w:val="nil"/>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cs="方正仿宋简体" w:hint="eastAsia"/>
                <w:iCs/>
              </w:rPr>
              <w:t>011137</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cs="方正仿宋简体" w:hint="eastAsia"/>
                <w:iCs/>
              </w:rPr>
              <w:t>中国工商银行股份有限公司</w:t>
            </w:r>
            <w:r w:rsidR="00EE0C11" w:rsidRPr="00707C6B">
              <w:rPr>
                <w:rFonts w:ascii="仿宋" w:eastAsia="仿宋" w:hAnsi="仿宋" w:cs="方正仿宋简体" w:hint="eastAsia"/>
                <w:iCs/>
              </w:rPr>
              <w:t xml:space="preserve">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
            </w:r>
          </w:p>
        </w:tc>
        <w:tc>
          <w:tcPr>
            <w:tcW w:w="1443" w:type="pct"/>
            <w:tcBorders>
              <w:top w:val="dashSmallGap" w:sz="4" w:space="0" w:color="A6A6A6" w:themeColor="background1" w:themeShade="A6"/>
              <w:bottom w:val="nil"/>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hint="eastAsia"/>
                <w:color w:val="333399"/>
              </w:rPr>
              <w:t/>
            </w:r>
            <w:r w:rsidR="00EE0C11" w:rsidRPr="00707C6B">
              <w:rPr>
                <w:rFonts w:ascii="仿宋" w:eastAsia="仿宋" w:hAnsi="仿宋" w:cs="方正仿宋简体" w:hint="eastAsia"/>
                <w:iCs/>
              </w:rPr>
              <w:t xml:space="preserve"> </w:t>
            </w:r>
            <w:r w:rsidR="00EE0C11" w:rsidRPr="00707C6B">
              <w:rPr>
                <w:rFonts w:ascii="仿宋" w:eastAsia="仿宋" w:hAnsi="仿宋" w:hint="eastAsia"/>
                <w:color w:val="333399"/>
              </w:rPr>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混合型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372D15">
            <w:pPr>
              <w:spacing w:line="280" w:lineRule="exact"/>
              <w:rPr>
                <w:rFonts w:ascii="仿宋" w:eastAsia="仿宋" w:hAnsi="仿宋" w:cs="方正仿宋简体"/>
                <w:iCs/>
              </w:rPr>
            </w:pPr>
            <w:r w:rsidR="00EE0C11" w:rsidRPr="00707C6B">
              <w:rPr>
                <w:rFonts w:ascii="仿宋" w:eastAsia="仿宋" w:hAnsi="仿宋" w:cs="方正仿宋简体" w:hint="eastAsia"/>
                <w:iCs/>
              </w:rPr>
              <w:t>人民币</w:t>
            </w:r>
            <w:r w:rsidR="00EE0C11" w:rsidRPr="00707C6B">
              <w:rPr>
                <w:rFonts w:ascii="仿宋" w:eastAsia="仿宋" w:hAnsi="仿宋" w:hint="eastAsia"/>
                <w:color w:val="333399"/>
              </w:rPr>
              <w:t/>
            </w:r>
            <w:r w:rsidR="00EE0C11" w:rsidRPr="00707C6B">
              <w:rPr>
                <w:rFonts w:ascii="仿宋" w:eastAsia="仿宋" w:hAnsi="仿宋" w:hint="eastAsia"/>
                <w:color w:val="333399"/>
              </w:rPr>
              <w:t/>
            </w:r>
            <w:r w:rsidR="00EE0C11" w:rsidRPr="00707C6B">
              <w:rPr>
                <w:rFonts w:ascii="仿宋" w:eastAsia="仿宋" w:hAnsi="仿宋" w:hint="eastAsia"/>
                <w:color w:val="333399"/>
              </w:rPr>
              <w:t/>
            </w:r>
            <w:r w:rsidR="00EE0C11" w:rsidRPr="00707C6B">
              <w:rPr>
                <w:rFonts w:ascii="仿宋" w:eastAsia="仿宋" w:hAnsi="仿宋" w:hint="eastAsia"/>
                <w:color w:val="333399"/>
              </w:rPr>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费逸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2010-07-06</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 xml:space="preserve">《基金合同》生效后，连续二十个工作日出现基金份额持有人数量不满200人或者基金资产净值低于5000万元人民币情形的，基金管理人应在定期报告中予以披露；连续五十个工作日出现前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 xml:space="preserve">法律法规或中国证监会另有规定时，从其规定。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gbicc:emptyAbove="1">
      <w:pPr gbicc:listString="二、" gbicc:numText="%1、" gbicc:numFmt="C" gbicc:numVal="2"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gbicc:listString="(一)" gbicc:numText="(%1)" gbicc:numFmt="C" gbicc:numVal="1"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420"/>
        <w:gridCol w:w="7434"/>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本基金在有效控制组合风险并保持良好流动性的前提下，通过对公司及行业所处的基本面进行深入分析和把握，精选优势个股，力争实现基金资产的长期稳健增值。</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本基金的投资范围为具有良好流动性的金融工具，包括国内依法发行上市的股票（包括中小板、创业板及其他依法发行、上市的股票）、港股通标的股票、债券（包括国债、地方政府债、金融债、企业债、公司债、公开发行的次级债、可转换债券（含分离交易可转债）、可交换债券、永续债、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 xml:space="preserve">如法律法规或监管机构以后允许基金投资其他品种，基金管理人在履行适当程序后，可以将其纳入投资范围。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1、资产配置策略；2、股票投资策略；3、债券投资策略；4、资产支持证券投资策略；5、金融衍生品投资策略。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沪深300指数收益率×60%+人民币计价的恒生指数收益率×20%＋中证全债指数收益率×20%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混合型基金，其预期收益及风险水平高于货币市场基金和债券型基金，低于股票型基金。本基金投资于港股通标的股票，会面临港股通机制下因投资环境、投资标的、市场制度以及交易规则等差异带来的特有风险，包括港股市场股价波动较大的风险、汇率风险、港股通机制下交易日不连贯可能带来的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w:t>
      </w:r>
      <w:r w:rsidRPr="00707C6B">
        <w:rPr>
          <w:rFonts w:ascii="仿宋" w:eastAsia="仿宋" w:hAnsi="仿宋" w:cs="方正仿宋简体" w:hint="eastAsia"/>
          <w:iCs/>
          <w:szCs w:val="24"/>
        </w:rPr>
        <w:t>详见《广发盛兴混合型证券投资基金招募说明书》及其更新文件中“基金的投资”。</w:t>
      </w:r>
    </w:p>
    <w:p w:rsidR="000612DA" w:rsidRPr="00707C6B" w:rsidRDefault="00372D15">
      <w:pPr>
        <w:spacing w:line="280" w:lineRule="exact"/>
        <w:rPr>
          <w:rFonts w:ascii="仿宋" w:eastAsia="仿宋" w:hAnsi="仿宋" w:cs="仿宋_GB2312"/>
          <w:kern w:val="0"/>
          <w:szCs w:val="24"/>
        </w:rPr>
      </w:pPr>
    </w:p>
    <w:p w:rsidR="000612DA" w:rsidRPr="00707C6B" w:rsidRDefault="00EE0C11" gbicc:emptyAbove="1">
      <w:pPr gbicc:listString="(二)" gbicc:numText="(%1)" gbicc:numFmt="C" gbicc:numVal="2"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372D15" w:rsidP="00265B51" gbicc:emptyAbove="1">
      <w:pPr>
        <w:jc w:val="left"/>
        <w:rPr>
          <w:rFonts w:ascii="仿宋" w:eastAsia="仿宋" w:hAnsi="仿宋" w:cs="方正仿宋简体"/>
          <w:b/>
          <w:iCs/>
          <w:sz w:val="24"/>
          <w:szCs w:val="24"/>
        </w:rPr>
      </w:pPr>
      <w:r w:rsidR="00EE0C11" w:rsidRPr="00707C6B">
        <w:rPr>
          <w:rFonts w:ascii="仿宋" w:eastAsia="仿宋" w:hAnsi="仿宋"/>
          <w:color w:val="000000" w:themeColor="text1"/>
        </w:rPr>
        <w:t>无</w:t>
      </w:r>
    </w:p>
    <w:p w:rsidR="000612DA" w:rsidRPr="00707C6B" w:rsidRDefault="00EE0C11">
      <w:pPr gbicc:listString="(三)" gbicc:numText="(%1)" gbicc:numFmt="C" gbicc:numVal="3" gbicc:numId="15">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gbicc:emptyAbove="2">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gbicc:emptyAbove="1">
      <w:pPr gbicc:listString="三、" gbicc:numText="%1、" gbicc:numFmt="C" gbicc:numVal="3" gbicc:numId="10">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gbicc:listString="（一）" gbicc:numText="（%1）" gbicc:numFmt="J" gbicc:numVal="1" gbicc:numId="25">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863"/>
        <w:gridCol w:w="2915"/>
        <w:gridCol w:w="1701"/>
        <w:gridCol w:w="2375"/>
      </w:tblGrid>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47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6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0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本基金C类份额无认购费</w:t>
            </w:r>
          </w:p>
        </w:tc>
      </w:tr>
      <w:tr w:rsidR="000612DA" w:rsidRPr="00707C6B" w:rsidTr="00084383">
        <w:trPr>
          <w:trHeight w:val="227"/>
        </w:trPr>
        <w:tc>
          <w:tcPr>
            <w:tcW w:w="145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r>
            <w:r w:rsidR="00EE0C11" w:rsidRPr="00707C6B">
              <w:rPr>
                <w:rFonts w:ascii="仿宋" w:eastAsia="仿宋" w:hAnsi="仿宋" w:cs="方正仿宋简体" w:hint="eastAsia"/>
                <w:bCs/>
                <w:iCs/>
              </w:rPr>
              <w:t/>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本基金C类份额无申购费</w:t>
            </w:r>
          </w:p>
        </w:tc>
      </w:tr>
      <w:tr w:rsidR="000612DA" w:rsidRPr="00707C6B" w:rsidTr="00084383">
        <w:trPr>
          <w:trHeight w:val="227"/>
        </w:trPr>
        <w:tc>
          <w:tcPr>
            <w:tcW w:w="1453" w:type="pct"/>
            <w:vAlign w:val="center"/>
            <w:vMerge w:val="restart"/>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7日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1.50%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w:r>
          </w:p>
        </w:tc>
      </w:tr>
      <w:tr w:rsidR="000612DA" w:rsidRPr="00707C6B" w:rsidTr="00084383">
        <w:trPr>
          <w:trHeight w:val="227"/>
        </w:trPr>
        <w:tc>
          <w:tcPr>
            <w:tcW w:w="1453"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7日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&lt;</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0.50%</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xml:space="preserve"/>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r w:rsidR="000612DA" w:rsidRPr="00707C6B" w:rsidTr="00084383">
        <w:trPr>
          <w:trHeight w:val="227"/>
        </w:trPr>
        <w:tc>
          <w:tcPr>
            <w:tcW w:w="1453" w:type="pct"/>
            <w:vAlign w:val="center"/>
            <w:vMerge/>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479"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N</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30日</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 xml:space="preserve"/>
            </w:r>
          </w:p>
        </w:tc>
        <w:tc>
          <w:tcPr>
            <w:tcW w:w="863"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cs="方正仿宋简体" w:hint="eastAsia"/>
                <w:bCs/>
                <w:iCs/>
              </w:rPr>
              <w:t xml:space="preserve">-</w:t>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xml:space="preserve"/>
            </w:r>
            <w:r w:rsidR="00EE0C11" w:rsidRPr="00707C6B">
              <w:rPr>
                <w:rFonts w:ascii="仿宋" w:eastAsia="仿宋" w:hAnsi="仿宋" w:cs="方正仿宋简体" w:hint="eastAsia"/>
                <w:bCs/>
                <w:iCs/>
              </w:rPr>
              <w:t xml:space="preserve"/>
            </w:r>
            <w:r w:rsidR="00EE0C11" w:rsidRPr="00707C6B">
              <w:rPr>
                <w:rFonts w:ascii="仿宋" w:eastAsia="仿宋" w:hAnsi="仿宋" w:hint="eastAsia"/>
                <w:color w:val="333399"/>
              </w:rPr>
              <w:t xml:space="preserve"/>
            </w:r>
          </w:p>
        </w:tc>
        <w:tc>
          <w:tcPr>
            <w:tcW w:w="120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hint="eastAsia"/>
                <w:color w:val="333399"/>
              </w:rPr>
              <w:t xml:space="preserve"/>
            </w:r>
          </w:p>
        </w:tc>
      </w:tr>
    </w:tbl>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gbicc:emptyAbove="1">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731"/>
        <w:gridCol w:w="6123"/>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销售服务费</w:t>
            </w:r>
            <w:r w:rsidRPr="00707C6B">
              <w:rPr>
                <w:rFonts w:ascii="仿宋" w:eastAsia="仿宋" w:hAnsi="仿宋" w:cs="方正仿宋简体" w:hint="eastAsia"/>
                <w:iCs/>
              </w:rPr>
              <w:t/>
            </w:r>
            <w:r w:rsidRPr="00707C6B">
              <w:rPr>
                <w:rFonts w:ascii="仿宋" w:eastAsia="仿宋" w:hAnsi="仿宋" w:cs="方正仿宋简体" w:hint="eastAsia"/>
                <w:iCs/>
              </w:rPr>
              <w:t/>
            </w:r>
            <w:r w:rsidRPr="00707C6B">
              <w:rPr>
                <w:rFonts w:ascii="仿宋" w:eastAsia="仿宋" w:hAnsi="仿宋" w:cs="方正仿宋简体" w:hint="eastAsia"/>
                <w:iCs/>
              </w:rPr>
              <w:t/>
            </w:r>
          </w:p>
        </w:tc>
        <w:tc>
          <w:tcPr>
            <w:tcW w:w="3107" w:type="pct"/>
            <w:vAlign w:val="center"/>
          </w:tcPr>
          <w:p w:rsidR="000612DA" w:rsidRPr="00707C6B" w:rsidRDefault="00372D15">
            <w:pPr>
              <w:spacing w:line="280" w:lineRule="exact"/>
              <w:jc w:val="center"/>
              <w:rPr>
                <w:rFonts w:ascii="仿宋" w:eastAsia="仿宋" w:hAnsi="仿宋" w:cs="方正仿宋简体"/>
                <w:bCs/>
                <w:iCs/>
              </w:rPr>
            </w:pPr>
            <w:r w:rsidR="00EE0C11" w:rsidRPr="00707C6B">
              <w:rPr>
                <w:rFonts w:ascii="仿宋" w:eastAsia="仿宋" w:hAnsi="仿宋" w:hint="eastAsia"/>
                <w:color w:val="333399"/>
              </w:rPr>
              <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0.40%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372D15" w:rsidP="003D461D">
            <w:pPr>
              <w:spacing w:line="280" w:lineRule="exact"/>
              <w:jc w:val="left"/>
              <w:rPr>
                <w:rFonts w:ascii="仿宋" w:eastAsia="仿宋" w:hAnsi="仿宋" w:cs="方正仿宋简体"/>
                <w:bCs/>
                <w:iCs/>
              </w:rPr>
            </w:pPr>
            <w:r w:rsidR="00EE0C11" w:rsidRPr="00707C6B">
              <w:rPr>
                <w:rFonts w:ascii="仿宋" w:eastAsia="仿宋" w:hAnsi="仿宋" w:cs="方正仿宋简体" w:hint="eastAsia"/>
                <w:bCs/>
                <w:iCs/>
              </w:rPr>
              <w:t>《基金合同》生效后与基金相关的信息披露费用、会计师费、律师费、诉讼费、基金份额持有人大会费用、证券交易费用、银行汇划费用、账户开户费用和账户维护费、因投资港股通标的股票而产生的各项合理费用、以及按照国家有关规定和《基金合同》约定，可以在基金财产中列支的其他费用。</w:t>
            </w:r>
            <w:r w:rsidR="00EE0C11" w:rsidRPr="00707C6B">
              <w:rPr>
                <w:rFonts w:ascii="仿宋" w:eastAsia="仿宋" w:hAnsi="仿宋" w:cs="方正仿宋简体" w:hint="eastAsia"/>
                <w:bCs/>
                <w:iCs/>
              </w:rPr>
              <w:t xml:space="preserve"> </w:t>
            </w:r>
            <w:r w:rsidR="00EE0C11" w:rsidRPr="00707C6B">
              <w:rPr>
                <w:rFonts w:ascii="仿宋" w:eastAsia="仿宋" w:hAnsi="仿宋" w:hint="eastAsia"/>
                <w:color w:val="333399"/>
              </w:rPr>
              <w:t/>
            </w:r>
          </w:p>
        </w:tc>
      </w:tr>
    </w:tbl>
    <w:p w:rsidR="000612DA" w:rsidRPr="00707C6B" w:rsidRDefault="00372D15">
      <w:pPr>
        <w:autoSpaceDE w:val="0"/>
        <w:autoSpaceDN w:val="0"/>
        <w:adjustRightInd w:val="0"/>
        <w:spacing w:line="280" w:lineRule="exact"/>
        <w:jc w:val="left"/>
        <w:rPr>
          <w:rFonts w:ascii="仿宋" w:eastAsia="仿宋" w:hAnsi="仿宋" w:cs="方正仿宋简体"/>
          <w:bCs/>
          <w:iCs/>
        </w:rPr>
      </w:pPr>
      <w:r w:rsidR="00EE0C11" w:rsidRPr="00707C6B">
        <w:rPr>
          <w:rFonts w:ascii="仿宋" w:eastAsia="仿宋" w:hAnsi="仿宋" w:cs="方正仿宋简体" w:hint="eastAsia"/>
          <w:bCs/>
          <w:iCs/>
        </w:rPr>
        <w:t>注：</w:t>
      </w:r>
      <w:r w:rsidR="00EE0C11" w:rsidRPr="00707C6B">
        <w:rPr>
          <w:rFonts w:ascii="仿宋" w:eastAsia="仿宋" w:hAnsi="仿宋" w:cs="方正仿宋简体" w:hint="eastAsia"/>
          <w:bCs/>
          <w:iCs/>
        </w:rPr>
        <w:t xml:space="preserve"> </w:t>
      </w:r>
      <w:r w:rsidR="00EE0C11" w:rsidRPr="00707C6B">
        <w:rPr>
          <w:rFonts w:ascii="仿宋" w:eastAsia="仿宋" w:hAnsi="仿宋" w:cs="方正仿宋简体" w:hint="eastAsia"/>
          <w:bCs/>
          <w:iCs/>
        </w:rPr>
        <w:t>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gbicc:emptyAbove="1">
      <w:pPr gbicc:listString="四、" gbicc:numText="%1、" gbicc:numFmt="C" gbicc:numVal="4"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本基金不提供任何保证。投资者可能损失投资本金。</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投资有风险，投资者购买基金时应认真阅读本基金的《招募说明书》等销售文件。</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1、本基金特有风险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（1）投资港股通标的股票的风险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港股通可投资标的范围调整带来的风险、境外市场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2）本基金《基金合同》生效后，连续五十个工作日出现基金份额持有人数量不满200人或者基金资产净值低于5000万元人民币的情形，基金管理人应当终止基金合同，并按照基金合同的约定程序进行清算，不需要召开基金份额持有人大会进行表决。法律法规或中国证监会另有规定时，从其规定。</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（3）本基金是混合型基金，既能投资股票，亦能投资债券，因此股票、债券等市场的变化均会影响到本基金的业绩表现。</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4）本基金投资于国债期货、股指期货等金融衍生品可能给本基金带来额外风险。投资股指期货的风险包括基差风险、合约品种差异造成的风险、标的物风险、衍生品模型风险等；投资国债期货的风险包括市场风险、基差风险、流动性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（5）本基金可投资资产支持证券，主要风险包括流动性风险、利率风险及评级风险等。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2、投资科创板的风险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3、开放式基金的共有风险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（1）市场风险；（2）管理风险；（3）职业道德风险；（4）流动性风险；（5）合规性风险；（6）投资管理风险等。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4、其他风险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中国证监会对本基金募集的注册，并不表明其对本基金的价值和收益作出实质性判断或保证，也不表明投资于本基金没有风险。</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基金管理人依照恪尽职守、诚实信用、谨慎勤勉的原则管理和运用基金财产，但不保证基金一定盈利，也不保证最低收益。</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基金投资者自依基金合同取得基金份额，即成为基金份额持有人和基金合同的当事人。</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及定期报告等。</w:t>
      </w:r>
    </w:p>
    <w:p w:rsidR="000612DA" w:rsidRPr="00707C6B" w:rsidRDefault="00372D15">
      <w:pPr>
        <w:spacing w:line="280" w:lineRule="exact"/>
        <w:ind w:firstLine="420"/>
        <w:rPr>
          <w:rFonts w:ascii="仿宋" w:eastAsia="仿宋" w:hAnsi="仿宋" w:cs="方正仿宋简体"/>
          <w:iCs/>
        </w:rPr>
      </w:pPr>
      <w:r>
        <w:rPr>
          <w:rFonts w:ascii="仿宋" w:eastAsia="仿宋" w:hAnsi="仿宋" w:cs="方正仿宋简体" w:hint="eastAsia"/>
          <w:iCs/>
        </w:rPr>
        <w:t xml:space="preserve">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gbicc:emptyAbove="1">
      <w:pPr gbicc:listString="五、" gbicc:numText="%1、" gbicc:numFmt="C" gbicc:numVal="5" gbicc:numId="10">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以下资料详见广发基金官方网站［www.gffunds.com.cn］［客服电话：95105828或020-83936999］</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（1）《广发盛兴混合型证券投资基金基金合同》</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（2）《广发盛兴混合型证券投资基金托管协议》</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（3）《广发盛兴混合型证券投资基金招募说明书》</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（4）定期报告，包括基金季度报告、中期报告和年度报告</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（5）基金份额净值</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（6）基金销售机构及联系方式</w:t>
      </w:r>
    </w:p>
    <w:p w:rsidR="000612DA" w:rsidRPr="00BD6ACC" w:rsidRDefault="00372D15" w:rsidP="00BD6ACC">
      <w:pPr>
        <w:spacing w:line="280" w:lineRule="exact"/>
        <w:ind w:firstLine="420"/>
        <w:rPr>
          <w:rFonts w:ascii="仿宋" w:eastAsia="仿宋" w:hAnsi="仿宋" w:cs="方正仿宋简体"/>
          <w:iCs/>
        </w:rPr>
      </w:pPr>
      <w:r>
        <w:rPr>
          <w:rFonts w:ascii="仿宋" w:eastAsia="仿宋" w:hAnsi="仿宋" w:cs="方正仿宋简体" w:hint="eastAsia"/>
          <w:iCs/>
        </w:rPr>
        <w:t xml:space="preserve">（7）其他重要资料</w:t>
      </w:r>
    </w:p>
    <w:sectPr w:rsidR="00133309" w:rsidRPr="00133309" w:rsidSect="008A5B3B">
      <w:footerReference w:type="default" r:id="rId24"/>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15" w:rsidRDefault="00372D15" w:rsidP="0092395F">
      <w:r>
        <w:separator/>
      </w:r>
    </w:p>
  </w:endnote>
  <w:endnote w:type="continuationSeparator" w:id="0">
    <w:p w:rsidR="00372D15" w:rsidRDefault="00372D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33D9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3D94">
              <w:rPr>
                <w:b/>
                <w:bCs/>
                <w:noProof/>
              </w:rPr>
              <w:t>16</w:t>
            </w:r>
            <w:r>
              <w:rPr>
                <w:b/>
                <w:bCs/>
                <w:sz w:val="24"/>
                <w:szCs w:val="24"/>
              </w:rPr>
              <w:fldChar w:fldCharType="end"/>
            </w:r>
          </w:p>
        </w:sdtContent>
      </w:sdt>
    </w:sdtContent>
  </w:sdt>
  <w:p w:rsidR="00AE10CD" w:rsidRDefault="00AE10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15" w:rsidRDefault="00372D15" w:rsidP="0092395F">
      <w:r>
        <w:separator/>
      </w:r>
    </w:p>
  </w:footnote>
  <w:footnote w:type="continuationSeparator" w:id="0">
    <w:p w:rsidR="00372D15" w:rsidRDefault="00372D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C21FE0E"/>
    <w:multiLevelType w:val="singleLevel"/>
    <w:tmpl w:val="5C21FE0E"/>
    <w:lvl w:ilvl="0">
      <w:start w:val="2"/>
      <w:numFmt w:val="chineseCounting"/>
      <w:suff w:val="nothing"/>
      <w:lvlText w:val="（%1）"/>
      <w:lvlJc w:val="left"/>
    </w:lvl>
  </w:abstractNum>
  <w:abstractNum w:abstractNumId="15">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2D15"/>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3D94"/>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4F82"/>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FFF"/>
    <w:rsid w:val="001123EE"/>
    <w:rsid w:val="00112FFF"/>
    <w:rsid w:val="0011621F"/>
    <w:rsid w:val="00116BAE"/>
    <w:rsid w:val="00121599"/>
    <w:rsid w:val="00127EA3"/>
    <w:rsid w:val="00162362"/>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646D2"/>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3D9"/>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DD5"/>
    <w:rsid w:val="00637E49"/>
    <w:rsid w:val="00656E21"/>
    <w:rsid w:val="00660FB7"/>
    <w:rsid w:val="00662A61"/>
    <w:rsid w:val="00666964"/>
    <w:rsid w:val="00672BB9"/>
    <w:rsid w:val="00680145"/>
    <w:rsid w:val="006A0AEA"/>
    <w:rsid w:val="006A662C"/>
    <w:rsid w:val="006A70D1"/>
    <w:rsid w:val="006F084B"/>
    <w:rsid w:val="006F6C75"/>
    <w:rsid w:val="0071246B"/>
    <w:rsid w:val="00725A42"/>
    <w:rsid w:val="00754982"/>
    <w:rsid w:val="007612BB"/>
    <w:rsid w:val="00784909"/>
    <w:rsid w:val="007A7321"/>
    <w:rsid w:val="007B250C"/>
    <w:rsid w:val="007B2945"/>
    <w:rsid w:val="007B519F"/>
    <w:rsid w:val="007C1EAF"/>
    <w:rsid w:val="007D01E7"/>
    <w:rsid w:val="007D3D18"/>
    <w:rsid w:val="007F7D90"/>
    <w:rsid w:val="00804E77"/>
    <w:rsid w:val="00805628"/>
    <w:rsid w:val="0081197D"/>
    <w:rsid w:val="0081476F"/>
    <w:rsid w:val="0081559D"/>
    <w:rsid w:val="00823337"/>
    <w:rsid w:val="0082630F"/>
    <w:rsid w:val="00826E9C"/>
    <w:rsid w:val="0083139A"/>
    <w:rsid w:val="0084214F"/>
    <w:rsid w:val="0084724A"/>
    <w:rsid w:val="008509BD"/>
    <w:rsid w:val="008538C1"/>
    <w:rsid w:val="00854210"/>
    <w:rsid w:val="008648F5"/>
    <w:rsid w:val="00866A53"/>
    <w:rsid w:val="00880093"/>
    <w:rsid w:val="008909A1"/>
    <w:rsid w:val="008C1EE9"/>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858"/>
    <w:rsid w:val="009B350A"/>
    <w:rsid w:val="009B4C33"/>
    <w:rsid w:val="009B5BDB"/>
    <w:rsid w:val="009B6A40"/>
    <w:rsid w:val="009C23D7"/>
    <w:rsid w:val="009C634B"/>
    <w:rsid w:val="009C70B7"/>
    <w:rsid w:val="009D499B"/>
    <w:rsid w:val="009E4011"/>
    <w:rsid w:val="00A11BB6"/>
    <w:rsid w:val="00A1561D"/>
    <w:rsid w:val="00A174E0"/>
    <w:rsid w:val="00A22C1C"/>
    <w:rsid w:val="00A22CE8"/>
    <w:rsid w:val="00A26726"/>
    <w:rsid w:val="00A31566"/>
    <w:rsid w:val="00A36E27"/>
    <w:rsid w:val="00A516D0"/>
    <w:rsid w:val="00A819EC"/>
    <w:rsid w:val="00A936E8"/>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6792C"/>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1024"/>
    <w:rsid w:val="00DE743A"/>
    <w:rsid w:val="00E02054"/>
    <w:rsid w:val="00E051D8"/>
    <w:rsid w:val="00E23412"/>
    <w:rsid w:val="00E62A28"/>
    <w:rsid w:val="00E80993"/>
    <w:rsid w:val="00E933BE"/>
    <w:rsid w:val="00EA022C"/>
    <w:rsid w:val="00EA551D"/>
    <w:rsid w:val="00EC052D"/>
    <w:rsid w:val="00EE2435"/>
    <w:rsid w:val="00EF1ACC"/>
    <w:rsid w:val="00EF3FC1"/>
    <w:rsid w:val="00F05E3F"/>
    <w:rsid w:val="00F11153"/>
    <w:rsid w:val="00F1504D"/>
    <w:rsid w:val="00F15E85"/>
    <w:rsid w:val="00F2521D"/>
    <w:rsid w:val="00F5276A"/>
    <w:rsid w:val="00F745F4"/>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6E21"/>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6E21"/>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102332FD-74BD-4910-BAB7-37B76684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16</Pages>
  <Words>634</Words>
  <Characters>3616</Characters>
  <Application>Microsoft Office Word</Application>
  <DocSecurity>0</DocSecurity>
  <Lines>30</Lines>
  <Paragraphs>8</Paragraphs>
  <ScaleCrop>false</ScaleCrop>
  <Company>shenduxitong</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2020-08-13T02:04:00Z</dcterms:created>
  <dc:creator>Donghm</dc:creator>
  <cp:lastModifiedBy>Administrator</cp:lastModifiedBy>
  <dcterms:modified xsi:type="dcterms:W3CDTF">2020-11-18T06:39:00Z</dcterms:modified>
  <cp:revision>88</cp:revision>
</cp:coreProperties>
</file>