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 w:bidi="he-IL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he-IL"/>
        </w:rPr>
        <w:t>包1为日立存储和BROCADE光纤交换机原厂维保，设备清单如下：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3278"/>
        <w:gridCol w:w="1168"/>
        <w:gridCol w:w="453"/>
        <w:gridCol w:w="2101"/>
        <w:gridCol w:w="444"/>
        <w:gridCol w:w="4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数量(台)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本期维保期间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维保类别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是否首次出保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亦庄VSP-G350-1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（含HDI NAS网关及HCP对象存储）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VSP-G350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亦庄VSP-G350-2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（含HDI NAS网关及HCP对象存储）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VSP-G350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核心银行系统存储YZ_CRBS_F1500_1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F1500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核心银行系统存储YZ_CRBS_F1500_2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F1500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亦庄SAN交换机sw8510-1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8510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亦庄SAN交换机sw8510-2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8510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亦庄SAN交换机sw8510-3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8510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亦庄SAN交换机sw8510-4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8510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2027/2/1-2028/1/31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he-IL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包2为华为存储维保，设备清单如下：</w:t>
      </w: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3278"/>
        <w:gridCol w:w="1168"/>
        <w:gridCol w:w="446"/>
        <w:gridCol w:w="2102"/>
        <w:gridCol w:w="446"/>
        <w:gridCol w:w="4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数量(台)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本期维保期间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维保类别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是否首次出保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一套高端NAS双活存储（含2台华为存储））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HW18500F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2026/12/29-2027/12/28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原厂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23F7A"/>
    <w:rsid w:val="02B70D5F"/>
    <w:rsid w:val="092606AD"/>
    <w:rsid w:val="09EF03FD"/>
    <w:rsid w:val="0AA725AE"/>
    <w:rsid w:val="0C5343FD"/>
    <w:rsid w:val="0F435B1A"/>
    <w:rsid w:val="13445FC3"/>
    <w:rsid w:val="17716DD6"/>
    <w:rsid w:val="2DB80A07"/>
    <w:rsid w:val="3621547A"/>
    <w:rsid w:val="400C346B"/>
    <w:rsid w:val="4B11591E"/>
    <w:rsid w:val="4C49648C"/>
    <w:rsid w:val="538F21E4"/>
    <w:rsid w:val="69F23F7A"/>
    <w:rsid w:val="746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2026-03-18T09:44:00Z</dcterms:created>
  <dc:creator>qilw</dc:creator>
  <cp:lastModifiedBy>qilw</cp:lastModifiedBy>
  <dcterms:modified xsi:type="dcterms:W3CDTF">2026-08-11T00:54:25Z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