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Ind w:w="0" w:type="dxa"/>
        <w:tblLayout w:type="fixed"/>
        <w:tblCellMar>
          <w:top w:w="0" w:type="dxa"/>
          <w:left w:w="108" w:type="dxa"/>
          <w:bottom w:w="0" w:type="dxa"/>
          <w:right w:w="108" w:type="dxa"/>
        </w:tblCellMar>
      </w:tblPr>
      <w:tblGrid>
        <w:gridCol w:w="746"/>
        <w:gridCol w:w="856"/>
        <w:gridCol w:w="6920"/>
      </w:tblGrid>
      <w:tr>
        <w:tblPrEx>
          <w:tblCellMar>
            <w:top w:w="0" w:type="dxa"/>
            <w:left w:w="108" w:type="dxa"/>
            <w:bottom w:w="0" w:type="dxa"/>
            <w:right w:w="108" w:type="dxa"/>
          </w:tblCellMar>
        </w:tblPrEx>
        <w:trPr>
          <w:trHeight w:val="380" w:hRule="atLeast"/>
        </w:trPr>
        <w:tc>
          <w:tcPr>
            <w:tcW w:w="438" w:type="pct"/>
            <w:tcBorders>
              <w:top w:val="single" w:color="auto" w:sz="4" w:space="0"/>
              <w:left w:val="single" w:color="auto" w:sz="4" w:space="0"/>
              <w:bottom w:val="single" w:color="auto" w:sz="4" w:space="0"/>
              <w:right w:val="single" w:color="auto" w:sz="4" w:space="0"/>
            </w:tcBorders>
            <w:vAlign w:val="center"/>
          </w:tcPr>
          <w:p>
            <w:pPr>
              <w:widowControl/>
              <w:spacing w:after="0" w:line="240" w:lineRule="auto"/>
              <w:jc w:val="center"/>
              <w:rPr>
                <w:rFonts w:hint="eastAsia" w:ascii="宋体" w:hAnsi="宋体" w:eastAsia="宋体" w:cs="宋体"/>
                <w:b/>
                <w:bCs/>
                <w:color w:val="auto"/>
                <w:kern w:val="0"/>
                <w:sz w:val="21"/>
                <w:szCs w:val="21"/>
                <w14:ligatures w14:val="none"/>
              </w:rPr>
            </w:pPr>
            <w:r>
              <w:rPr>
                <w:rFonts w:hint="eastAsia" w:ascii="宋体" w:hAnsi="宋体" w:eastAsia="宋体" w:cs="宋体"/>
                <w:b/>
                <w:bCs/>
                <w:color w:val="auto"/>
                <w:kern w:val="0"/>
                <w:sz w:val="21"/>
                <w:szCs w:val="21"/>
                <w14:ligatures w14:val="none"/>
              </w:rPr>
              <w:t>一级功能</w:t>
            </w:r>
          </w:p>
        </w:tc>
        <w:tc>
          <w:tcPr>
            <w:tcW w:w="502" w:type="pct"/>
            <w:tcBorders>
              <w:top w:val="single" w:color="auto" w:sz="4" w:space="0"/>
              <w:left w:val="nil"/>
              <w:bottom w:val="single" w:color="auto" w:sz="4" w:space="0"/>
              <w:right w:val="single" w:color="auto" w:sz="4" w:space="0"/>
            </w:tcBorders>
            <w:vAlign w:val="center"/>
          </w:tcPr>
          <w:p>
            <w:pPr>
              <w:widowControl/>
              <w:spacing w:after="0" w:line="240" w:lineRule="auto"/>
              <w:jc w:val="center"/>
              <w:rPr>
                <w:rFonts w:hint="eastAsia" w:ascii="宋体" w:hAnsi="宋体" w:eastAsia="宋体" w:cs="宋体"/>
                <w:b/>
                <w:bCs/>
                <w:color w:val="auto"/>
                <w:kern w:val="0"/>
                <w:sz w:val="21"/>
                <w:szCs w:val="21"/>
                <w14:ligatures w14:val="none"/>
              </w:rPr>
            </w:pPr>
            <w:r>
              <w:rPr>
                <w:rFonts w:hint="eastAsia" w:ascii="宋体" w:hAnsi="宋体" w:eastAsia="宋体" w:cs="宋体"/>
                <w:b/>
                <w:bCs/>
                <w:color w:val="auto"/>
                <w:kern w:val="0"/>
                <w:sz w:val="21"/>
                <w:szCs w:val="21"/>
                <w14:ligatures w14:val="none"/>
              </w:rPr>
              <w:t>二级功能</w:t>
            </w:r>
          </w:p>
        </w:tc>
        <w:tc>
          <w:tcPr>
            <w:tcW w:w="4059" w:type="pct"/>
            <w:tcBorders>
              <w:top w:val="single" w:color="auto" w:sz="4" w:space="0"/>
              <w:left w:val="nil"/>
              <w:bottom w:val="single" w:color="auto" w:sz="4" w:space="0"/>
              <w:right w:val="single" w:color="auto" w:sz="4" w:space="0"/>
            </w:tcBorders>
            <w:vAlign w:val="center"/>
          </w:tcPr>
          <w:p>
            <w:pPr>
              <w:widowControl/>
              <w:spacing w:after="0" w:line="240" w:lineRule="auto"/>
              <w:jc w:val="center"/>
              <w:rPr>
                <w:rFonts w:hint="eastAsia" w:ascii="宋体" w:hAnsi="宋体" w:eastAsia="宋体" w:cs="宋体"/>
                <w:b/>
                <w:bCs/>
                <w:color w:val="auto"/>
                <w:kern w:val="0"/>
                <w:sz w:val="21"/>
                <w:szCs w:val="21"/>
                <w14:ligatures w14:val="none"/>
              </w:rPr>
            </w:pPr>
            <w:r>
              <w:rPr>
                <w:rFonts w:hint="eastAsia" w:ascii="宋体" w:hAnsi="宋体" w:eastAsia="宋体" w:cs="宋体"/>
                <w:b/>
                <w:bCs/>
                <w:color w:val="auto"/>
                <w:kern w:val="0"/>
                <w:sz w:val="21"/>
                <w:szCs w:val="21"/>
                <w14:ligatures w14:val="none"/>
              </w:rPr>
              <w:t>三级功能</w:t>
            </w:r>
          </w:p>
        </w:tc>
      </w:tr>
      <w:tr>
        <w:tblPrEx>
          <w:tblCellMar>
            <w:top w:w="0" w:type="dxa"/>
            <w:left w:w="108" w:type="dxa"/>
            <w:bottom w:w="0" w:type="dxa"/>
            <w:right w:w="108" w:type="dxa"/>
          </w:tblCellMar>
        </w:tblPrEx>
        <w:trPr>
          <w:trHeight w:val="380" w:hRule="atLeast"/>
        </w:trPr>
        <w:tc>
          <w:tcPr>
            <w:tcW w:w="438" w:type="pct"/>
            <w:vMerge w:val="restart"/>
            <w:tcBorders>
              <w:top w:val="single" w:color="auto" w:sz="4" w:space="0"/>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系统架构需求</w:t>
            </w:r>
          </w:p>
        </w:tc>
        <w:tc>
          <w:tcPr>
            <w:tcW w:w="502" w:type="pct"/>
            <w:vMerge w:val="restart"/>
            <w:tcBorders>
              <w:top w:val="single" w:color="auto" w:sz="4" w:space="0"/>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管理兼容性要求</w:t>
            </w:r>
          </w:p>
        </w:tc>
        <w:tc>
          <w:tcPr>
            <w:tcW w:w="4059" w:type="pct"/>
            <w:tcBorders>
              <w:top w:val="single" w:color="auto" w:sz="4" w:space="0"/>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支持HDS、浪潮、宏杉、华为等各型号SAN存储设备的管理功能。</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支持NetApp、华为、XSKY等NAS、对象存储设备的管理功能。</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支持Borcade等各型号存储交换机设备的管理功能。</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具备管理新型对象存储和分布式存储的能力，以适应我行未来的管理需要。</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外部接口需求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提供标准的事件转发接口，能够与综合监控平台进行告警事件的对接。</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提供标准的配置数据访问接口，能够与CMDB平台进行配置数据的对接。</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提供统一鉴权接口，能够与统一认证系统对接，单点登录。</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权限管理要求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系统提供基于角色的用户管理功能，不用角色的用户拥有不同的操作权限。</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系统需提供分域管理的功能，不同的存储管理员可以管理不同的存储设备，登录后只显示所负责存储设备的相关信息。</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安装部署要求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提供全中文、图形化的操作界面，支持Web浏览器方式进行远程系统监控和管理，支持主流浏览器。</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系统能够部署在信创Linux虚拟机上，支持麒麟等主流操作系统上的安装部署。</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实现存储设备的监控管理功能时，不能在存储设备上安装任何代理或探针程序。</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系统运行不能够对生产环境的存储设备产生过大的压力，不能影响任何现有业务系统的运行。</w:t>
            </w:r>
          </w:p>
        </w:tc>
      </w:tr>
      <w:tr>
        <w:tblPrEx>
          <w:tblCellMar>
            <w:top w:w="0" w:type="dxa"/>
            <w:left w:w="108" w:type="dxa"/>
            <w:bottom w:w="0" w:type="dxa"/>
            <w:right w:w="108" w:type="dxa"/>
          </w:tblCellMar>
        </w:tblPrEx>
        <w:trPr>
          <w:trHeight w:val="760" w:hRule="atLeast"/>
        </w:trPr>
        <w:tc>
          <w:tcPr>
            <w:tcW w:w="438"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告警管理需求</w:t>
            </w: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告警采集能力要求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支持事件接收模式，接收来自于不同厂商、不同型号存储和存储网络设备的SNMP Trap事件进行告警分析。</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支持主动轮询模式，周期性主动扫描存储和存储网络设备的关键部件的状态，发现状态异常时主动上报告警。</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支持阈值监控模式，对存储和存储网络设备的关键指标设置门限，越门限时主动上报告警。</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事件解析能力要求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系统提供告警分类能力，将属于同一类型的，不同厂商不同的错误码统一合并成一个厂商无关的错误类型进行解析。</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对于厂商特定的错误码，允许管理员根据自身管理需要自定义告警类型进行分类管理。</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能够准确识别告警类型、告警上报设备、具体故障位置、故障描述等信息。</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能够准确识别告警的原始级别，并允许管理员重定义告警级别。</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对于系统无法识别的事件，允许管理员自定义识别规则，通过界面操作完成新规则的创建和应用。</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告警处理能力要求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提供告警过滤功能，能够提供基于策略的事件过滤功能，例如按位置、按级别、按描述信息关键字等。</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提供告警压缩功能，能够将同一位置同一类型的事件进行压缩，并记录初次上报时间、最近上报时间和上报次数。</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提供告警溯源功能，能够识别一系列衍生告警的根源告警，保留根源告警，衍生事件进行压缩计数。</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提供告警影响性分析功能，根据告警发生的位置，识别其影响的服务器或业务系统，并在告警中携带相关信息。</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提供告警恢复功能，对于能够自动恢复的告警，例如端口LinkDown/LinkUp，能够标识为已恢复，并记录恢复时间。</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提供告警手工/自动确认功能，能够在界面上手工确认告警，并更新告警的确认状态。</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提供告警清除功能，对于已确认或超出时效的告警信息，系统提供手动或自动的清除功能，转存为历史告警归档备查。</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提供告警经验记录和查询功能，允许管理员通过界面操作，对特定类型的告警记录其故障原因和处理经验，同类型告警可快速查询相关故障原因和处理经验信息。</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提供告警统计功能，可以按告警类型、告警位置、告警上报时间等多个维度进行告警统计，生成统计报表。</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告警转发能力要求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系统提供告警通知功能，能够把解析后的告警以短信或邮件的方式，通知指定管理员。</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系统提供告警转发功能，能够把解析后的告警，重新封装成SNMP Trap或Syslog格式，转发给指定的系统。</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系统提供基于策略的转发能力，能够基于告警位置、级别、描述信息关键字等条件的组合，制定转发规则。</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系统提供告警转发模板功能，允许管理员通过界面操作，自定义转发的内容，适用于短信、邮件、SNMP Trap等。</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对于已压缩告警，除了能够在第一次上报时转发外，还能制定策略，控制后继重复上报的告警的转发频次。</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对于配置变更中的设备，系统能够提供策略，对变更阶段（例如更换故障磁盘、电源等部件）产生的告警进行抑制或消声。</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告警显示能力要求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提供告警信息直观的显示方式，除了列表外，还能按照告警设备快速检索其相关告警信息。</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提供告警实时监控界面，实时显示所有存储设备的告警状态，并提供实时刷新功能，刷新周期可设置。</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提供关键告警的统计数据，并提供实时刷新功能。</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在其他功能界面中，例如设备列表、设备面板、网络拓扑中，能够直观显示设备节点最高级别告警状态，提供快速查询相关告警的能力。</w:t>
            </w:r>
          </w:p>
        </w:tc>
      </w:tr>
      <w:tr>
        <w:tblPrEx>
          <w:tblCellMar>
            <w:top w:w="0" w:type="dxa"/>
            <w:left w:w="108" w:type="dxa"/>
            <w:bottom w:w="0" w:type="dxa"/>
            <w:right w:w="108" w:type="dxa"/>
          </w:tblCellMar>
        </w:tblPrEx>
        <w:trPr>
          <w:trHeight w:val="760" w:hRule="atLeast"/>
        </w:trPr>
        <w:tc>
          <w:tcPr>
            <w:tcW w:w="438"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配置管理需求</w:t>
            </w: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配置数据采集能力要求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系统能够与不同厂商、不同型号设备管理接口API针对性的进行对接，广泛支持多种协议，包括且不限于SMI-S、SNMP、CLI、RESTful、SDK等。</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系统提供周期性采集存储和存储网络设备配置数据的能力，采集周期可设置。</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系统支持不同厂商、不同品牌SAN存储设备各类软硬件配置数据的集中采集，包括且不限于磁盘、风扇、电源、电池、控制器、端口、RAID、POOL、HOSTGROUP、Masking&amp;Mapping等。</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系统支持不同厂商、不同品牌NAS存储设备各类软硬件配置数据的集中采集，包括且不限于磁盘、风扇、电源、电池、机头、端口、POOL、文件系统、访问控制策略等。</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系统支持不同厂商、不同品牌存储交换机设备各类软硬件配置数据的集中采集，包括且不限于端口、端口盘、风扇、电源、WWN、链路、ZONE、ZoneSet、Fabric、vSAN等。</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对于配置采集失败的设备，能够以明显的方式进行提示，提醒管理员其配置数据已经超过时效。</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设备管理功能要求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除自动采集配置数据外，系统允许管理员手工录入设备相关资产数据，例如安装位置、负责人、维保厂商等。</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系统提供设备维保管理功能，允许登记维保厂商和联系人。</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系统能够集中收集和管理所有存储和存储网络设备的微码版本信息，提供微码到期提示功能。</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配置可视化能力要求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所有配置数据统一入库、统一列表展示、统一多条件组合查询，列表内容可灵活选择列或行导出EXCEL格式。</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系统能够提供全局的、基于多关键字的搜索引擎功能，能够模糊搜索关键字相关的所有配置信息。</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除列表外，系统能够提供可视化管理功能，图形化的方式展示存储磁盘柜、交换机端口盘的物理视图，以及各物理部件的运行状态。</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配置变更发现能力要求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能够自动识别和记录设备微码的变更，包括微码版本的变化，以及变更的日期。</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能够自动识别存储设备硬件配置的变更，例如磁盘的变更等。</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能够自动识别存储网络设备配置的变更，例如链路的变更、ZONE的变更。</w:t>
            </w:r>
          </w:p>
        </w:tc>
      </w:tr>
      <w:tr>
        <w:tblPrEx>
          <w:tblCellMar>
            <w:top w:w="0" w:type="dxa"/>
            <w:left w:w="108" w:type="dxa"/>
            <w:bottom w:w="0" w:type="dxa"/>
            <w:right w:w="108" w:type="dxa"/>
          </w:tblCellMar>
        </w:tblPrEx>
        <w:trPr>
          <w:trHeight w:val="1125" w:hRule="atLeast"/>
        </w:trPr>
        <w:tc>
          <w:tcPr>
            <w:tcW w:w="438"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网络管理需求</w:t>
            </w:r>
          </w:p>
        </w:tc>
        <w:tc>
          <w:tcPr>
            <w:tcW w:w="502" w:type="pc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网络自动发现能力要求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能够自动识别本地SAN网络拓扑，支持多级存储网络的自动发现。</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网络拓扑可视化能力要求</w:t>
            </w:r>
          </w:p>
        </w:tc>
        <w:tc>
          <w:tcPr>
            <w:tcW w:w="4059" w:type="pct"/>
            <w:tcBorders>
              <w:top w:val="single" w:color="auto" w:sz="4" w:space="0"/>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能够以图形化的方式展现从磁盘阵列到服务器端到端的光纤物理拓扑和逻辑拓扑图，显示的最小粒度能够到端口级别。</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能够自动识别存储网络中的服务器和服务器集群，以及HBA卡端口WWN。</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能够提供以存储、服务器、集群、SAN网络等为视角的不同维度的端到端拓扑视图。</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能够在端到端拓扑图中集成故障分析、链路分析、性能分析等操作。</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网络分析能力要求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能够自动识别和记录SAN网络中的变更，例如服务器上线下线、ZONE的变更、链路变更等，并记录变更的日期。</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能够自动识别和记录SAN网络配置不合规的场景，例如单链路、链路不对称、ZONE成员端口不合规等，作为SAN网络优化的依据。</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关键链路监控能力要求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对于SAN和NAS双活链路，能够自动监视其服务质量，包括且不限于对带宽利用率、吞吐、光功率、CRC、丢错包等关键指标的实时监控，发生异常时能够主动上报告警通知管理员。</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对于SAN异地复制链路，能够自动监视其服务质量，包括且不限于对带宽利用率、吞吐、光功率、CRC、丢错包等关键指标的实时监控，发生异常时能够主动上报告警通知管理员。</w:t>
            </w:r>
          </w:p>
        </w:tc>
      </w:tr>
      <w:tr>
        <w:tblPrEx>
          <w:tblCellMar>
            <w:top w:w="0" w:type="dxa"/>
            <w:left w:w="108" w:type="dxa"/>
            <w:bottom w:w="0" w:type="dxa"/>
            <w:right w:w="108" w:type="dxa"/>
          </w:tblCellMar>
        </w:tblPrEx>
        <w:trPr>
          <w:trHeight w:val="760" w:hRule="atLeast"/>
        </w:trPr>
        <w:tc>
          <w:tcPr>
            <w:tcW w:w="438"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容量管理需求</w:t>
            </w: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容量统计能力要求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能够屏蔽不同型号SAN存储设备RAID的差异，自动计算SAN存储的总物理容量、总可用容量、已使用容量和未使用容量等容量指标。</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能够自动识别和统计SAN存储对各应用服务器或集群的容量分配数据，以及中间的端到端容量分配路径。</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能够自动计算NAS存储总物理容量、总文件系统容量、已使用容量、未使用容量、iNode总数、iNode已使用数量、iNode剩余数量等容量指标。</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容量消耗趋势分析能力要求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能够自动记录SAN可用容量的变化，形成SAN容量消耗趋势图，以日、周、月为单位查询变化曲线。</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能够自动记录NAS文件系统容量的变化，形成NAS容量消耗趋势图，以日、周、月为单位查询变化曲线。</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能够针对SAN可用容量、NAS文件系统容量利用率设置门限，当利用率越门限时，系统自动上报告警通知管理员。</w:t>
            </w:r>
          </w:p>
        </w:tc>
      </w:tr>
      <w:tr>
        <w:tblPrEx>
          <w:tblCellMar>
            <w:top w:w="0" w:type="dxa"/>
            <w:left w:w="108" w:type="dxa"/>
            <w:bottom w:w="0" w:type="dxa"/>
            <w:right w:w="108" w:type="dxa"/>
          </w:tblCellMar>
        </w:tblPrEx>
        <w:trPr>
          <w:trHeight w:val="380" w:hRule="atLeast"/>
        </w:trPr>
        <w:tc>
          <w:tcPr>
            <w:tcW w:w="438"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性能管理需求</w:t>
            </w: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性能数据采集能力要求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系统能够集中、自动、周期性采集所有存储和存储网络设备的各类性能指标，统一入库，统一查询。</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系统能够提供分钟级的性能采集能力，故障诊断最短1分钟，趋势分析最短5分钟，采集周期可调。</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系统能够提供以最短5分钟为单位的，7x24x365不间断的历史性能数据采集和查询展示能力。</w:t>
            </w:r>
          </w:p>
        </w:tc>
      </w:tr>
      <w:tr>
        <w:tblPrEx>
          <w:tblCellMar>
            <w:top w:w="0" w:type="dxa"/>
            <w:left w:w="108" w:type="dxa"/>
            <w:bottom w:w="0" w:type="dxa"/>
            <w:right w:w="108" w:type="dxa"/>
          </w:tblCellMar>
        </w:tblPrEx>
        <w:trPr>
          <w:trHeight w:val="114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对于SAN存储，支持磁盘、RAID、LUN、控制器、存储的多指标采集，指标包括且不限于吞吐（读/写/总）、IOPS（读/写/总）、响应时间（读/写）、延迟（读/写）、缓存命中率（读/写/总）、顺序IO（读/写）等。</w:t>
            </w:r>
          </w:p>
        </w:tc>
      </w:tr>
      <w:tr>
        <w:tblPrEx>
          <w:tblCellMar>
            <w:top w:w="0" w:type="dxa"/>
            <w:left w:w="108" w:type="dxa"/>
            <w:bottom w:w="0" w:type="dxa"/>
            <w:right w:w="108" w:type="dxa"/>
          </w:tblCellMar>
        </w:tblPrEx>
        <w:trPr>
          <w:trHeight w:val="114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NAS存储，支持磁盘、文件系统、控制器、以太网端口的多指标采集，指标包括且不限于吞吐（读/写/总）、IOPS（读/写/总，分NFS、CIFS、FCP和iSCSI）、响应时间（读/写，分NFS、CIFS、FCP和iSCSI）、数据传输率（读/写/总）、错包数（读/写/总）等。</w:t>
            </w:r>
          </w:p>
        </w:tc>
      </w:tr>
      <w:tr>
        <w:tblPrEx>
          <w:tblCellMar>
            <w:top w:w="0" w:type="dxa"/>
            <w:left w:w="108" w:type="dxa"/>
            <w:bottom w:w="0" w:type="dxa"/>
            <w:right w:w="108" w:type="dxa"/>
          </w:tblCellMar>
        </w:tblPrEx>
        <w:trPr>
          <w:trHeight w:val="114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SAN存储交换机，支持端口的多指标采集，指标包括且不限于流量（入/出/总）、带宽利用率（入/出/总）、帧数（发送/接收/丢弃）、CRC错误、光功率（发送/接收）、链路复位（发送/接收）、编码错误（入/出）等。</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性能展现能力要求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性能数据能够以日、周、月、年为周期进行查询，查询的结果可导出为报表。</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查询的结果，除了以列表方式展现外，还提供曲线图表的展现方式。</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系统能够提供性能曲线的同比、环比、同一对象不同指标之间对比、同一指标不同对象之间对比等性能数据比较功能，便于进行性能分析。</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性能分析能力要求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系统提供存储设备热点分析功能，可针对LUN、RAID、前端口、文件系统，对指定指标进行统计和排名，发现其中的热点和冷点。</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系统提供存储网络设备热点分析功能，可针对端口，对指定指标进行统计和排名，发现其中的热点和冷点。</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系统提供SAN网络的热点分析功能，可针对磁盘阵列和服务器，按流量进行统计和排名，发现SAN网络中的热点和冷点。</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性能门限监控能力要求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所有性能指标都能够设置门限，并提供批量设置门限的能力。</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系统提供实时门限监控能力，当越门限事件发生时，系统主动上报告警通知管理员。</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系统提供慢速卷自动发现功能，周期性主动发现读写延迟超过指定阈值的所有LUN，并上报告警。</w:t>
            </w:r>
          </w:p>
        </w:tc>
      </w:tr>
      <w:tr>
        <w:tblPrEx>
          <w:tblCellMar>
            <w:top w:w="0" w:type="dxa"/>
            <w:left w:w="108" w:type="dxa"/>
            <w:bottom w:w="0" w:type="dxa"/>
            <w:right w:w="108" w:type="dxa"/>
          </w:tblCellMar>
        </w:tblPrEx>
        <w:trPr>
          <w:trHeight w:val="38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系统提供端口光衰自动发现功能，周期性主动发现SAN网络中的光衰端口，并上报告警。</w:t>
            </w:r>
          </w:p>
        </w:tc>
      </w:tr>
      <w:tr>
        <w:tblPrEx>
          <w:tblCellMar>
            <w:top w:w="0" w:type="dxa"/>
            <w:left w:w="108" w:type="dxa"/>
            <w:bottom w:w="0" w:type="dxa"/>
            <w:right w:w="108" w:type="dxa"/>
          </w:tblCellMar>
        </w:tblPrEx>
        <w:trPr>
          <w:trHeight w:val="380" w:hRule="atLeast"/>
        </w:trPr>
        <w:tc>
          <w:tcPr>
            <w:tcW w:w="438" w:type="pct"/>
            <w:vMerge w:val="restart"/>
            <w:tcBorders>
              <w:top w:val="nil"/>
              <w:left w:val="single" w:color="auto"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存储自动化需求</w:t>
            </w:r>
          </w:p>
        </w:tc>
        <w:tc>
          <w:tcPr>
            <w:tcW w:w="502" w:type="pct"/>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设备自动化配置变更需求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支持SAN存储的配置自动化变更功能，包括卷的创建和回收、主机组的创建和删除、映射的创建和删除等。</w:t>
            </w:r>
          </w:p>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支持SAN交换机的配置自动化变更功能，包括ZONE的创建和删除等。</w:t>
            </w:r>
          </w:p>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支持NAS存储的配置自动化变更功能，包括文件系统的创建和回收、访问策略的创建和修改等。</w:t>
            </w:r>
          </w:p>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支持对象存储的配置自动化变更功能，包括对象桶的创建和回收、桶用户的创建和删除等。</w:t>
            </w:r>
          </w:p>
        </w:tc>
      </w:tr>
      <w:tr>
        <w:tblPrEx>
          <w:tblCellMar>
            <w:top w:w="0" w:type="dxa"/>
            <w:left w:w="108" w:type="dxa"/>
            <w:bottom w:w="0" w:type="dxa"/>
            <w:right w:w="108" w:type="dxa"/>
          </w:tblCellMar>
        </w:tblPrEx>
        <w:trPr>
          <w:trHeight w:val="380" w:hRule="atLeast"/>
        </w:trPr>
        <w:tc>
          <w:tcPr>
            <w:tcW w:w="438" w:type="pct"/>
            <w:vMerge w:val="continue"/>
            <w:tcBorders>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p>
        </w:tc>
        <w:tc>
          <w:tcPr>
            <w:tcW w:w="502" w:type="pct"/>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自动化变更流程管理需求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针对业务场景能够统一配置参数，屏蔽厂商存储设备配置参数的差异，实现标准化。</w:t>
            </w:r>
          </w:p>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所有配置变更任务可以手工执行，也可以定时执行。</w:t>
            </w:r>
          </w:p>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所有配置变更任务，其过程必须详细记录与设备的交互过程，可导出相关的日志数据做错误排查。</w:t>
            </w:r>
          </w:p>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对于失败的任务，必须能够通知存储管理员予以处理。</w:t>
            </w:r>
          </w:p>
        </w:tc>
      </w:tr>
      <w:tr>
        <w:tblPrEx>
          <w:tblCellMar>
            <w:top w:w="0" w:type="dxa"/>
            <w:left w:w="108" w:type="dxa"/>
            <w:bottom w:w="0" w:type="dxa"/>
            <w:right w:w="108" w:type="dxa"/>
          </w:tblCellMar>
        </w:tblPrEx>
        <w:trPr>
          <w:trHeight w:val="380" w:hRule="atLeast"/>
        </w:trPr>
        <w:tc>
          <w:tcPr>
            <w:tcW w:w="438"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报表管理需求</w:t>
            </w:r>
          </w:p>
        </w:tc>
        <w:tc>
          <w:tcPr>
            <w:tcW w:w="502" w:type="pct"/>
            <w:vMerge w:val="restart"/>
            <w:tcBorders>
              <w:top w:val="nil"/>
              <w:left w:val="single" w:color="auto" w:sz="4" w:space="0"/>
              <w:bottom w:val="single" w:color="000000"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报表生成能力要求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所有的数据列表，都支持导出EXCEL格式报表功能，导出的内容（行和列）允许管理员自定义。</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对于复杂的复合报表，例如资产报表、配置报表、容量报表、性能报表等，能够通过扩充报表模板库的方式予以实现。</w:t>
            </w:r>
          </w:p>
        </w:tc>
      </w:tr>
      <w:tr>
        <w:tblPrEx>
          <w:tblCellMar>
            <w:top w:w="0" w:type="dxa"/>
            <w:left w:w="108" w:type="dxa"/>
            <w:bottom w:w="0" w:type="dxa"/>
            <w:right w:w="108" w:type="dxa"/>
          </w:tblCellMar>
        </w:tblPrEx>
        <w:trPr>
          <w:trHeight w:val="760" w:hRule="atLeast"/>
        </w:trPr>
        <w:tc>
          <w:tcPr>
            <w:tcW w:w="438" w:type="pct"/>
            <w:vMerge w:val="continue"/>
            <w:tcBorders>
              <w:top w:val="nil"/>
              <w:left w:val="single" w:color="auto" w:sz="4" w:space="0"/>
              <w:bottom w:val="single" w:color="000000"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p>
        </w:tc>
        <w:tc>
          <w:tcPr>
            <w:tcW w:w="502" w:type="pct"/>
            <w:tcBorders>
              <w:top w:val="nil"/>
              <w:left w:val="nil"/>
              <w:bottom w:val="single" w:color="auto" w:sz="4" w:space="0"/>
              <w:right w:val="single" w:color="auto" w:sz="4" w:space="0"/>
            </w:tcBorders>
            <w:vAlign w:val="center"/>
          </w:tcPr>
          <w:p>
            <w:pPr>
              <w:widowControl/>
              <w:spacing w:after="0" w:line="240" w:lineRule="auto"/>
              <w:jc w:val="center"/>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报表订阅能力要求</w:t>
            </w:r>
          </w:p>
        </w:tc>
        <w:tc>
          <w:tcPr>
            <w:tcW w:w="4059" w:type="pct"/>
            <w:tcBorders>
              <w:top w:val="nil"/>
              <w:left w:val="nil"/>
              <w:bottom w:val="single" w:color="auto" w:sz="4" w:space="0"/>
              <w:right w:val="single" w:color="auto" w:sz="4" w:space="0"/>
            </w:tcBorders>
            <w:vAlign w:val="center"/>
          </w:tcPr>
          <w:p>
            <w:pPr>
              <w:widowControl/>
              <w:spacing w:after="0" w:line="240" w:lineRule="auto"/>
              <w:rPr>
                <w:rFonts w:hint="eastAsia" w:ascii="宋体" w:hAnsi="宋体" w:eastAsia="宋体" w:cs="宋体"/>
                <w:color w:val="auto"/>
                <w:kern w:val="0"/>
                <w:sz w:val="21"/>
                <w:szCs w:val="21"/>
                <w14:ligatures w14:val="none"/>
              </w:rPr>
            </w:pPr>
            <w:r>
              <w:rPr>
                <w:rFonts w:hint="eastAsia" w:ascii="宋体" w:hAnsi="宋体" w:eastAsia="宋体" w:cs="宋体"/>
                <w:color w:val="auto"/>
                <w:kern w:val="0"/>
                <w:sz w:val="21"/>
                <w:szCs w:val="21"/>
                <w14:ligatures w14:val="none"/>
              </w:rPr>
              <w:t>提供报表订阅的功能，管理员可以订阅关注的报表，周期性自动生成报表，并邮件发送到订阅者邮箱中。</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926325"/>
    <w:rsid w:val="38926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2026-05-07T06:10:00Z</dcterms:created>
  <dc:creator>qilw</dc:creator>
  <cp:lastModifiedBy>qilw</cp:lastModifiedBy>
  <dcterms:modified xsi:type="dcterms:W3CDTF">2026-05-07T06:12:21Z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