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line="560" w:lineRule="exact"/>
        <w:jc w:val="center"/>
        <w:rPr>
          <w:rFonts w:hint="eastAsia" w:ascii="仿宋" w:hAnsi="仿宋" w:eastAsia="仿宋" w:cs="Times New Roman"/>
          <w:b/>
          <w:sz w:val="28"/>
          <w:szCs w:val="28"/>
        </w:rPr>
      </w:pPr>
      <w:r>
        <w:rPr>
          <w:rFonts w:hint="eastAsia" w:ascii="仿宋_GB2312" w:hAnsi="宋体" w:eastAsia="仿宋_GB2312" w:cs="Times New Roman"/>
          <w:b/>
          <w:bCs/>
          <w:color w:val="auto"/>
          <w:kern w:val="2"/>
          <w:sz w:val="32"/>
          <w:szCs w:val="32"/>
          <w:lang w:val="en-US" w:eastAsia="zh-CN" w:bidi="ar-SA"/>
        </w:rPr>
        <w:t>维保服务内容及要求</w:t>
      </w:r>
    </w:p>
    <w:p>
      <w:pPr>
        <w:ind w:right="420" w:firstLine="560" w:firstLineChars="200"/>
        <w:rPr>
          <w:rFonts w:hint="default" w:ascii="仿宋_GB2312" w:hAnsi="宋体" w:eastAsia="仿宋_GB2312" w:cs="Times New Roman"/>
          <w:b w:val="0"/>
          <w:color w:val="auto"/>
          <w:kern w:val="2"/>
          <w:sz w:val="28"/>
          <w:szCs w:val="28"/>
          <w:lang w:val="en-US" w:eastAsia="zh-CN" w:bidi="ar-SA"/>
        </w:rPr>
      </w:pPr>
      <w:r>
        <w:rPr>
          <w:rFonts w:hint="eastAsia" w:ascii="仿宋_GB2312" w:hAnsi="宋体" w:eastAsia="仿宋_GB2312" w:cs="Times New Roman"/>
          <w:b w:val="0"/>
          <w:color w:val="auto"/>
          <w:kern w:val="2"/>
          <w:sz w:val="28"/>
          <w:szCs w:val="28"/>
          <w:lang w:val="en-US" w:eastAsia="zh-CN" w:bidi="ar-SA"/>
        </w:rPr>
        <w:t xml:space="preserve">月坛大厦监控报警平台以及月坛大厦(含总行营业部)技防设备均要求全保服务，具体如下：    </w:t>
      </w:r>
    </w:p>
    <w:p>
      <w:pPr>
        <w:ind w:right="420" w:firstLine="560" w:firstLineChars="200"/>
        <w:rPr>
          <w:rFonts w:hint="eastAsia" w:ascii="仿宋_GB2312" w:hAnsi="宋体" w:eastAsia="仿宋_GB2312" w:cs="Times New Roman"/>
          <w:b w:val="0"/>
          <w:color w:val="auto"/>
          <w:kern w:val="2"/>
          <w:sz w:val="28"/>
          <w:szCs w:val="28"/>
          <w:lang w:val="en-US" w:eastAsia="zh-CN" w:bidi="ar-SA"/>
        </w:rPr>
      </w:pPr>
      <w:r>
        <w:rPr>
          <w:rFonts w:hint="eastAsia" w:ascii="仿宋_GB2312" w:hAnsi="宋体" w:eastAsia="仿宋_GB2312" w:cs="Times New Roman"/>
          <w:b w:val="0"/>
          <w:color w:val="auto"/>
          <w:kern w:val="2"/>
          <w:sz w:val="28"/>
          <w:szCs w:val="28"/>
          <w:lang w:val="en-US" w:eastAsia="zh-CN" w:bidi="ar-SA"/>
        </w:rPr>
        <w:t>（一）维保设备范围</w:t>
      </w:r>
    </w:p>
    <w:tbl>
      <w:tblPr>
        <w:tblStyle w:val="8"/>
        <w:tblW w:w="5187" w:type="dxa"/>
        <w:jc w:val="center"/>
        <w:tblLayout w:type="fixed"/>
        <w:tblCellMar>
          <w:top w:w="0" w:type="dxa"/>
          <w:left w:w="108" w:type="dxa"/>
          <w:bottom w:w="0" w:type="dxa"/>
          <w:right w:w="108" w:type="dxa"/>
        </w:tblCellMar>
      </w:tblPr>
      <w:tblGrid>
        <w:gridCol w:w="810"/>
        <w:gridCol w:w="4377"/>
      </w:tblGrid>
      <w:tr>
        <w:tblPrEx>
          <w:tblCellMar>
            <w:top w:w="0" w:type="dxa"/>
            <w:left w:w="108" w:type="dxa"/>
            <w:bottom w:w="0" w:type="dxa"/>
            <w:right w:w="108" w:type="dxa"/>
          </w:tblCellMar>
        </w:tblPrEx>
        <w:trPr>
          <w:trHeight w:val="391"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pPr>
              <w:widowControl/>
              <w:adjustRightInd/>
              <w:snapToGrid/>
              <w:spacing w:line="240" w:lineRule="auto"/>
              <w:ind w:firstLine="0" w:firstLineChars="0"/>
              <w:jc w:val="center"/>
              <w:rPr>
                <w:rFonts w:hint="eastAsia" w:ascii="宋体" w:hAnsi="宋体" w:eastAsia="宋体" w:cs="宋体"/>
                <w:b/>
                <w:bCs/>
                <w:color w:val="000000"/>
                <w:kern w:val="0"/>
                <w:sz w:val="22"/>
                <w:szCs w:val="22"/>
                <w:lang w:bidi="ar-SA"/>
              </w:rPr>
            </w:pPr>
            <w:r>
              <w:rPr>
                <w:rFonts w:hint="eastAsia" w:ascii="宋体" w:hAnsi="宋体" w:eastAsia="宋体" w:cs="宋体"/>
                <w:b/>
                <w:bCs/>
                <w:color w:val="000000"/>
                <w:kern w:val="0"/>
                <w:sz w:val="22"/>
                <w:szCs w:val="22"/>
                <w:lang w:bidi="ar-SA"/>
              </w:rPr>
              <w:t>序号</w:t>
            </w:r>
          </w:p>
        </w:tc>
        <w:tc>
          <w:tcPr>
            <w:tcW w:w="4377" w:type="dxa"/>
            <w:tcBorders>
              <w:top w:val="single" w:color="auto" w:sz="4" w:space="0"/>
              <w:left w:val="nil"/>
              <w:bottom w:val="single" w:color="auto" w:sz="4" w:space="0"/>
              <w:right w:val="single" w:color="auto" w:sz="4" w:space="0"/>
            </w:tcBorders>
            <w:vAlign w:val="center"/>
          </w:tcPr>
          <w:p>
            <w:pPr>
              <w:widowControl/>
              <w:adjustRightInd/>
              <w:snapToGrid/>
              <w:spacing w:line="240" w:lineRule="auto"/>
              <w:ind w:firstLine="0" w:firstLineChars="0"/>
              <w:jc w:val="center"/>
              <w:rPr>
                <w:rFonts w:hint="eastAsia" w:ascii="宋体" w:hAnsi="宋体" w:eastAsia="宋体" w:cs="宋体"/>
                <w:b/>
                <w:bCs/>
                <w:color w:val="000000"/>
                <w:kern w:val="0"/>
                <w:sz w:val="22"/>
                <w:szCs w:val="22"/>
                <w:lang w:bidi="ar-SA"/>
              </w:rPr>
            </w:pPr>
            <w:r>
              <w:rPr>
                <w:rFonts w:hint="eastAsia" w:ascii="宋体" w:hAnsi="宋体" w:eastAsia="宋体" w:cs="宋体"/>
                <w:b/>
                <w:bCs/>
                <w:color w:val="000000"/>
                <w:kern w:val="0"/>
                <w:sz w:val="22"/>
                <w:szCs w:val="22"/>
                <w:lang w:eastAsia="zh-CN" w:bidi="ar-SA"/>
              </w:rPr>
              <w:t>维保服务项</w:t>
            </w:r>
          </w:p>
        </w:tc>
      </w:tr>
      <w:tr>
        <w:tblPrEx>
          <w:tblCellMar>
            <w:top w:w="0" w:type="dxa"/>
            <w:left w:w="108" w:type="dxa"/>
            <w:bottom w:w="0" w:type="dxa"/>
            <w:right w:w="108" w:type="dxa"/>
          </w:tblCellMar>
        </w:tblPrEx>
        <w:trPr>
          <w:trHeight w:val="27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pPr>
              <w:widowControl/>
              <w:adjustRightInd/>
              <w:snapToGrid/>
              <w:spacing w:line="240" w:lineRule="auto"/>
              <w:ind w:firstLine="0" w:firstLineChars="0"/>
              <w:jc w:val="center"/>
              <w:rPr>
                <w:rFonts w:hint="eastAsia" w:ascii="宋体" w:hAnsi="宋体" w:eastAsia="宋体" w:cs="宋体"/>
                <w:color w:val="000000"/>
                <w:kern w:val="0"/>
                <w:sz w:val="22"/>
                <w:szCs w:val="22"/>
                <w:lang w:bidi="ar-SA"/>
              </w:rPr>
            </w:pPr>
            <w:r>
              <w:rPr>
                <w:rFonts w:hint="eastAsia" w:ascii="宋体" w:hAnsi="宋体" w:eastAsia="宋体" w:cs="宋体"/>
                <w:color w:val="000000"/>
                <w:kern w:val="0"/>
                <w:sz w:val="22"/>
                <w:szCs w:val="22"/>
                <w:lang w:bidi="ar-SA"/>
              </w:rPr>
              <w:t>1</w:t>
            </w:r>
          </w:p>
        </w:tc>
        <w:tc>
          <w:tcPr>
            <w:tcW w:w="43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snapToGrid/>
              <w:spacing w:line="240" w:lineRule="auto"/>
              <w:ind w:firstLine="0" w:firstLineChars="0"/>
              <w:jc w:val="center"/>
              <w:textAlignment w:val="center"/>
              <w:rPr>
                <w:rFonts w:hint="eastAsia" w:ascii="宋体" w:hAnsi="宋体" w:eastAsia="宋体" w:cs="宋体"/>
                <w:kern w:val="0"/>
                <w:sz w:val="22"/>
                <w:szCs w:val="22"/>
                <w:lang w:bidi="ar-SA"/>
              </w:rPr>
            </w:pPr>
            <w:r>
              <w:rPr>
                <w:rFonts w:hint="eastAsia" w:ascii="宋体" w:hAnsi="宋体" w:eastAsia="宋体" w:cs="宋体"/>
                <w:b w:val="0"/>
                <w:bCs/>
                <w:i w:val="0"/>
                <w:color w:val="000000"/>
                <w:kern w:val="0"/>
                <w:sz w:val="22"/>
                <w:szCs w:val="22"/>
                <w:u w:val="none"/>
                <w:lang w:val="en-US" w:eastAsia="zh-CN" w:bidi="ar"/>
              </w:rPr>
              <w:t>监控报警平台软件</w:t>
            </w:r>
          </w:p>
        </w:tc>
      </w:tr>
      <w:tr>
        <w:tblPrEx>
          <w:tblCellMar>
            <w:top w:w="0" w:type="dxa"/>
            <w:left w:w="108" w:type="dxa"/>
            <w:bottom w:w="0" w:type="dxa"/>
            <w:right w:w="108" w:type="dxa"/>
          </w:tblCellMar>
        </w:tblPrEx>
        <w:trPr>
          <w:trHeight w:val="327"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pPr>
              <w:widowControl/>
              <w:adjustRightInd/>
              <w:snapToGrid/>
              <w:spacing w:line="240" w:lineRule="auto"/>
              <w:ind w:firstLine="0" w:firstLineChars="0"/>
              <w:jc w:val="center"/>
              <w:rPr>
                <w:rFonts w:hint="eastAsia" w:ascii="宋体" w:hAnsi="宋体" w:eastAsia="宋体" w:cs="宋体"/>
                <w:color w:val="000000"/>
                <w:kern w:val="0"/>
                <w:sz w:val="22"/>
                <w:szCs w:val="22"/>
                <w:lang w:bidi="ar-SA"/>
              </w:rPr>
            </w:pPr>
            <w:r>
              <w:rPr>
                <w:rFonts w:hint="eastAsia" w:ascii="宋体" w:hAnsi="宋体" w:eastAsia="宋体" w:cs="宋体"/>
                <w:color w:val="000000"/>
                <w:kern w:val="0"/>
                <w:sz w:val="22"/>
                <w:szCs w:val="22"/>
                <w:lang w:bidi="ar-SA"/>
              </w:rPr>
              <w:t>2</w:t>
            </w:r>
          </w:p>
        </w:tc>
        <w:tc>
          <w:tcPr>
            <w:tcW w:w="43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snapToGrid/>
              <w:spacing w:line="240" w:lineRule="auto"/>
              <w:ind w:firstLine="0" w:firstLineChars="0"/>
              <w:jc w:val="center"/>
              <w:textAlignment w:val="center"/>
              <w:rPr>
                <w:rFonts w:hint="eastAsia" w:ascii="宋体" w:hAnsi="宋体" w:eastAsia="宋体" w:cs="宋体"/>
                <w:kern w:val="0"/>
                <w:sz w:val="22"/>
                <w:szCs w:val="22"/>
                <w:lang w:bidi="ar-SA"/>
              </w:rPr>
            </w:pPr>
            <w:r>
              <w:rPr>
                <w:rFonts w:hint="eastAsia" w:ascii="宋体" w:hAnsi="宋体" w:eastAsia="宋体" w:cs="宋体"/>
                <w:b w:val="0"/>
                <w:bCs/>
                <w:i w:val="0"/>
                <w:color w:val="000000"/>
                <w:kern w:val="0"/>
                <w:sz w:val="22"/>
                <w:szCs w:val="22"/>
                <w:u w:val="none"/>
                <w:lang w:val="en-US" w:eastAsia="zh-CN" w:bidi="ar"/>
              </w:rPr>
              <w:t>监控中心主机设备、软件</w:t>
            </w:r>
          </w:p>
        </w:tc>
      </w:tr>
      <w:tr>
        <w:tblPrEx>
          <w:tblCellMar>
            <w:top w:w="0" w:type="dxa"/>
            <w:left w:w="108" w:type="dxa"/>
            <w:bottom w:w="0" w:type="dxa"/>
            <w:right w:w="108" w:type="dxa"/>
          </w:tblCellMar>
        </w:tblPrEx>
        <w:trPr>
          <w:trHeight w:val="27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pPr>
              <w:widowControl/>
              <w:adjustRightInd/>
              <w:snapToGrid/>
              <w:spacing w:line="240" w:lineRule="auto"/>
              <w:ind w:firstLine="0" w:firstLineChars="0"/>
              <w:jc w:val="center"/>
              <w:rPr>
                <w:rFonts w:hint="eastAsia" w:ascii="宋体" w:hAnsi="宋体" w:eastAsia="宋体" w:cs="宋体"/>
                <w:color w:val="000000"/>
                <w:kern w:val="0"/>
                <w:sz w:val="22"/>
                <w:szCs w:val="22"/>
                <w:lang w:bidi="ar-SA"/>
              </w:rPr>
            </w:pPr>
            <w:r>
              <w:rPr>
                <w:rFonts w:hint="eastAsia" w:ascii="宋体" w:hAnsi="宋体" w:eastAsia="宋体" w:cs="宋体"/>
                <w:color w:val="000000"/>
                <w:kern w:val="0"/>
                <w:sz w:val="22"/>
                <w:szCs w:val="22"/>
                <w:lang w:bidi="ar-SA"/>
              </w:rPr>
              <w:t>3</w:t>
            </w:r>
          </w:p>
        </w:tc>
        <w:tc>
          <w:tcPr>
            <w:tcW w:w="43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snapToGrid/>
              <w:spacing w:line="240" w:lineRule="auto"/>
              <w:ind w:firstLine="0" w:firstLineChars="0"/>
              <w:jc w:val="center"/>
              <w:textAlignment w:val="center"/>
              <w:rPr>
                <w:rFonts w:hint="eastAsia" w:ascii="宋体" w:hAnsi="宋体" w:eastAsia="宋体" w:cs="宋体"/>
                <w:kern w:val="0"/>
                <w:sz w:val="22"/>
                <w:szCs w:val="22"/>
                <w:lang w:bidi="ar-SA"/>
              </w:rPr>
            </w:pPr>
            <w:r>
              <w:rPr>
                <w:rFonts w:hint="eastAsia" w:ascii="宋体" w:hAnsi="宋体" w:eastAsia="宋体" w:cs="宋体"/>
                <w:b w:val="0"/>
                <w:bCs/>
                <w:i w:val="0"/>
                <w:color w:val="000000"/>
                <w:kern w:val="0"/>
                <w:sz w:val="22"/>
                <w:szCs w:val="22"/>
                <w:u w:val="none"/>
                <w:lang w:val="en-US" w:eastAsia="zh-CN" w:bidi="ar"/>
              </w:rPr>
              <w:t>监控中心电视墙显示系统设备</w:t>
            </w:r>
          </w:p>
        </w:tc>
      </w:tr>
      <w:tr>
        <w:tblPrEx>
          <w:tblCellMar>
            <w:top w:w="0" w:type="dxa"/>
            <w:left w:w="108" w:type="dxa"/>
            <w:bottom w:w="0" w:type="dxa"/>
            <w:right w:w="108" w:type="dxa"/>
          </w:tblCellMar>
        </w:tblPrEx>
        <w:trPr>
          <w:trHeight w:val="27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pPr>
              <w:widowControl/>
              <w:adjustRightInd/>
              <w:snapToGrid/>
              <w:spacing w:line="240" w:lineRule="auto"/>
              <w:ind w:firstLine="0" w:firstLineChars="0"/>
              <w:jc w:val="center"/>
              <w:rPr>
                <w:rFonts w:hint="eastAsia" w:ascii="宋体" w:hAnsi="宋体" w:eastAsia="宋体" w:cs="宋体"/>
                <w:color w:val="000000"/>
                <w:kern w:val="0"/>
                <w:sz w:val="22"/>
                <w:szCs w:val="22"/>
                <w:lang w:bidi="ar-SA"/>
              </w:rPr>
            </w:pPr>
            <w:r>
              <w:rPr>
                <w:rFonts w:hint="eastAsia" w:ascii="宋体" w:hAnsi="宋体" w:eastAsia="宋体" w:cs="宋体"/>
                <w:color w:val="000000"/>
                <w:kern w:val="0"/>
                <w:sz w:val="22"/>
                <w:szCs w:val="22"/>
                <w:lang w:bidi="ar-SA"/>
              </w:rPr>
              <w:t>4</w:t>
            </w:r>
          </w:p>
        </w:tc>
        <w:tc>
          <w:tcPr>
            <w:tcW w:w="43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snapToGrid/>
              <w:spacing w:line="240" w:lineRule="auto"/>
              <w:ind w:firstLine="0" w:firstLineChars="0"/>
              <w:jc w:val="center"/>
              <w:textAlignment w:val="center"/>
              <w:rPr>
                <w:rFonts w:hint="eastAsia" w:ascii="宋体" w:hAnsi="宋体" w:eastAsia="宋体" w:cs="宋体"/>
                <w:kern w:val="0"/>
                <w:sz w:val="22"/>
                <w:szCs w:val="22"/>
                <w:lang w:bidi="ar-SA"/>
              </w:rPr>
            </w:pPr>
            <w:r>
              <w:rPr>
                <w:rFonts w:hint="eastAsia" w:ascii="宋体" w:hAnsi="宋体" w:eastAsia="宋体" w:cs="宋体"/>
                <w:b w:val="0"/>
                <w:bCs/>
                <w:i w:val="0"/>
                <w:color w:val="000000"/>
                <w:kern w:val="0"/>
                <w:sz w:val="22"/>
                <w:szCs w:val="22"/>
                <w:u w:val="none"/>
                <w:lang w:val="en-US" w:eastAsia="zh-CN" w:bidi="ar"/>
              </w:rPr>
              <w:t>应急指挥中心电视墙显示系统设备</w:t>
            </w:r>
          </w:p>
        </w:tc>
      </w:tr>
      <w:tr>
        <w:tblPrEx>
          <w:tblCellMar>
            <w:top w:w="0" w:type="dxa"/>
            <w:left w:w="108" w:type="dxa"/>
            <w:bottom w:w="0" w:type="dxa"/>
            <w:right w:w="108" w:type="dxa"/>
          </w:tblCellMar>
        </w:tblPrEx>
        <w:trPr>
          <w:trHeight w:val="27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pPr>
              <w:widowControl/>
              <w:adjustRightInd/>
              <w:snapToGrid/>
              <w:spacing w:line="240" w:lineRule="auto"/>
              <w:ind w:firstLine="0" w:firstLineChars="0"/>
              <w:jc w:val="center"/>
              <w:rPr>
                <w:rFonts w:hint="eastAsia" w:ascii="宋体" w:hAnsi="宋体" w:eastAsia="宋体" w:cs="宋体"/>
                <w:color w:val="000000"/>
                <w:kern w:val="0"/>
                <w:sz w:val="22"/>
                <w:szCs w:val="22"/>
                <w:lang w:bidi="ar-SA"/>
              </w:rPr>
            </w:pPr>
            <w:r>
              <w:rPr>
                <w:rFonts w:hint="eastAsia" w:ascii="宋体" w:hAnsi="宋体" w:eastAsia="宋体" w:cs="宋体"/>
                <w:color w:val="000000"/>
                <w:kern w:val="0"/>
                <w:sz w:val="22"/>
                <w:szCs w:val="22"/>
                <w:lang w:bidi="ar-SA"/>
              </w:rPr>
              <w:t>5</w:t>
            </w:r>
          </w:p>
        </w:tc>
        <w:tc>
          <w:tcPr>
            <w:tcW w:w="43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snapToGrid/>
              <w:spacing w:line="240" w:lineRule="auto"/>
              <w:ind w:firstLine="0" w:firstLineChars="0"/>
              <w:jc w:val="center"/>
              <w:textAlignment w:val="center"/>
              <w:rPr>
                <w:rFonts w:hint="eastAsia" w:ascii="宋体" w:hAnsi="宋体" w:eastAsia="宋体" w:cs="宋体"/>
                <w:kern w:val="0"/>
                <w:sz w:val="22"/>
                <w:szCs w:val="22"/>
                <w:lang w:bidi="ar-SA"/>
              </w:rPr>
            </w:pPr>
            <w:r>
              <w:rPr>
                <w:rFonts w:hint="eastAsia" w:ascii="宋体" w:hAnsi="宋体" w:eastAsia="宋体" w:cs="宋体"/>
                <w:b w:val="0"/>
                <w:bCs/>
                <w:i w:val="0"/>
                <w:color w:val="000000"/>
                <w:kern w:val="0"/>
                <w:sz w:val="22"/>
                <w:szCs w:val="22"/>
                <w:u w:val="none"/>
                <w:lang w:val="en-US" w:eastAsia="zh-CN" w:bidi="ar"/>
              </w:rPr>
              <w:t>监控中心自身安防系统设备</w:t>
            </w:r>
          </w:p>
        </w:tc>
      </w:tr>
      <w:tr>
        <w:tblPrEx>
          <w:tblCellMar>
            <w:top w:w="0" w:type="dxa"/>
            <w:left w:w="108" w:type="dxa"/>
            <w:bottom w:w="0" w:type="dxa"/>
            <w:right w:w="108" w:type="dxa"/>
          </w:tblCellMar>
        </w:tblPrEx>
        <w:trPr>
          <w:trHeight w:val="27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pPr>
              <w:widowControl/>
              <w:adjustRightInd/>
              <w:snapToGrid/>
              <w:spacing w:line="240" w:lineRule="auto"/>
              <w:ind w:firstLine="0" w:firstLineChars="0"/>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6</w:t>
            </w:r>
          </w:p>
        </w:tc>
        <w:tc>
          <w:tcPr>
            <w:tcW w:w="43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snapToGrid/>
              <w:spacing w:line="240" w:lineRule="auto"/>
              <w:ind w:firstLine="0" w:firstLineChars="0"/>
              <w:jc w:val="center"/>
              <w:textAlignment w:val="center"/>
              <w:rPr>
                <w:rFonts w:hint="eastAsia" w:ascii="宋体" w:hAnsi="宋体" w:eastAsia="宋体" w:cs="宋体"/>
                <w:b/>
                <w:bCs/>
                <w:color w:val="000000"/>
                <w:kern w:val="0"/>
                <w:sz w:val="22"/>
                <w:szCs w:val="22"/>
                <w:lang w:bidi="ar-SA"/>
              </w:rPr>
            </w:pPr>
            <w:r>
              <w:rPr>
                <w:rFonts w:hint="eastAsia" w:ascii="宋体" w:hAnsi="宋体" w:eastAsia="宋体" w:cs="宋体"/>
                <w:b w:val="0"/>
                <w:bCs/>
                <w:i w:val="0"/>
                <w:color w:val="000000"/>
                <w:kern w:val="0"/>
                <w:sz w:val="22"/>
                <w:szCs w:val="22"/>
                <w:u w:val="none"/>
                <w:lang w:val="en-US" w:eastAsia="zh-CN" w:bidi="ar"/>
              </w:rPr>
              <w:t>监控中心其它辅助设备</w:t>
            </w:r>
          </w:p>
        </w:tc>
      </w:tr>
      <w:tr>
        <w:tblPrEx>
          <w:tblCellMar>
            <w:top w:w="0" w:type="dxa"/>
            <w:left w:w="108" w:type="dxa"/>
            <w:bottom w:w="0" w:type="dxa"/>
            <w:right w:w="108" w:type="dxa"/>
          </w:tblCellMar>
        </w:tblPrEx>
        <w:trPr>
          <w:trHeight w:val="27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pPr>
              <w:widowControl/>
              <w:adjustRightInd/>
              <w:snapToGrid/>
              <w:spacing w:line="240" w:lineRule="auto"/>
              <w:ind w:firstLine="0" w:firstLineChars="0"/>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7</w:t>
            </w:r>
          </w:p>
        </w:tc>
        <w:tc>
          <w:tcPr>
            <w:tcW w:w="43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snapToGrid/>
              <w:spacing w:line="240" w:lineRule="auto"/>
              <w:ind w:firstLine="0" w:firstLineChars="0"/>
              <w:jc w:val="center"/>
              <w:textAlignment w:val="center"/>
              <w:rPr>
                <w:rFonts w:hint="eastAsia" w:ascii="宋体" w:hAnsi="宋体" w:eastAsia="宋体" w:cs="宋体"/>
                <w:b w:val="0"/>
                <w:bCs/>
                <w:i w:val="0"/>
                <w:color w:val="000000"/>
                <w:kern w:val="0"/>
                <w:sz w:val="22"/>
                <w:szCs w:val="22"/>
                <w:u w:val="none"/>
                <w:lang w:val="en-US" w:eastAsia="zh-CN" w:bidi="ar"/>
              </w:rPr>
            </w:pPr>
            <w:r>
              <w:rPr>
                <w:rFonts w:hint="eastAsia" w:ascii="宋体" w:hAnsi="宋体" w:eastAsia="宋体" w:cs="宋体"/>
                <w:kern w:val="0"/>
                <w:sz w:val="22"/>
                <w:szCs w:val="22"/>
                <w:lang w:eastAsia="zh-CN" w:bidi="ar-SA"/>
              </w:rPr>
              <w:t>月坛大厦、总行营业部技防设备</w:t>
            </w:r>
          </w:p>
        </w:tc>
      </w:tr>
    </w:tbl>
    <w:p>
      <w:pPr>
        <w:pStyle w:val="7"/>
        <w:ind w:firstLine="560" w:firstLineChars="200"/>
        <w:rPr>
          <w:rFonts w:hint="eastAsia"/>
          <w:sz w:val="18"/>
          <w:szCs w:val="18"/>
        </w:rPr>
      </w:pPr>
      <w:r>
        <w:rPr>
          <w:rFonts w:hint="eastAsia" w:ascii="仿宋_GB2312" w:hAnsi="宋体" w:eastAsia="仿宋_GB2312" w:cs="Times New Roman"/>
          <w:b w:val="0"/>
          <w:color w:val="auto"/>
          <w:kern w:val="2"/>
          <w:sz w:val="28"/>
          <w:szCs w:val="28"/>
          <w:lang w:val="en-US" w:eastAsia="zh-CN" w:bidi="ar-SA"/>
        </w:rPr>
        <w:t>详细设备清单见下方附件。</w:t>
      </w:r>
    </w:p>
    <w:p>
      <w:pPr>
        <w:ind w:right="420" w:firstLine="560" w:firstLineChars="200"/>
        <w:rPr>
          <w:rFonts w:hint="eastAsia" w:ascii="仿宋_GB2312" w:hAnsi="宋体" w:eastAsia="仿宋_GB2312" w:cs="Times New Roman"/>
          <w:b w:val="0"/>
          <w:color w:val="auto"/>
          <w:kern w:val="2"/>
          <w:sz w:val="28"/>
          <w:szCs w:val="28"/>
          <w:lang w:val="en-US" w:eastAsia="zh-CN" w:bidi="ar-SA"/>
        </w:rPr>
      </w:pPr>
      <w:r>
        <w:rPr>
          <w:rFonts w:hint="eastAsia" w:ascii="仿宋_GB2312" w:hAnsi="宋体" w:eastAsia="仿宋_GB2312" w:cs="Times New Roman"/>
          <w:b w:val="0"/>
          <w:color w:val="auto"/>
          <w:kern w:val="2"/>
          <w:sz w:val="28"/>
          <w:szCs w:val="28"/>
          <w:lang w:val="en-US" w:eastAsia="zh-CN" w:bidi="ar-SA"/>
        </w:rPr>
        <w:t>（二）本次维保服务内容及要求</w:t>
      </w:r>
    </w:p>
    <w:p>
      <w:pPr>
        <w:ind w:right="420" w:firstLine="560" w:firstLineChars="200"/>
        <w:rPr>
          <w:rFonts w:hint="eastAsia" w:ascii="仿宋_GB2312" w:hAnsi="宋体" w:eastAsia="仿宋_GB2312" w:cs="Times New Roman"/>
          <w:b w:val="0"/>
          <w:color w:val="auto"/>
          <w:kern w:val="2"/>
          <w:sz w:val="28"/>
          <w:szCs w:val="28"/>
          <w:lang w:val="en-US" w:eastAsia="zh-CN" w:bidi="ar-SA"/>
        </w:rPr>
      </w:pPr>
      <w:r>
        <w:rPr>
          <w:rFonts w:hint="eastAsia" w:ascii="仿宋_GB2312" w:hAnsi="宋体" w:eastAsia="仿宋_GB2312" w:cs="Times New Roman"/>
          <w:b w:val="0"/>
          <w:color w:val="auto"/>
          <w:kern w:val="2"/>
          <w:sz w:val="28"/>
          <w:szCs w:val="28"/>
          <w:lang w:val="en-US" w:eastAsia="zh-CN" w:bidi="ar-SA"/>
        </w:rPr>
        <w:t>1.软硬件巡检：在服务期内，硬件巡检包括但不限于每季度对相关设备进行1次巡检，包括验证设备配置准确性、可用性，验证防区图防区表准确性，检查设备运行状态，分析设备日志，针对设备存在的问题提出解决建议，对设备存在的问题进行处理。应在现场巡检后的5个工作日内提交设备巡检报告。在服务期内，软件巡检包括但不限于每季度对远程监控平台进行1次巡检，包括服务器各项系统指标、可用性、性能容量进行分析，检查平台运行状态，分析平台日志，针对平台存在的问题提出解决建议，对平台存在的问题进行处理。应在现场巡检后的5个工作日内提交软件巡检报告。</w:t>
      </w:r>
    </w:p>
    <w:p>
      <w:pPr>
        <w:ind w:right="420" w:firstLine="560" w:firstLineChars="200"/>
        <w:rPr>
          <w:rFonts w:hint="eastAsia" w:ascii="仿宋_GB2312" w:hAnsi="宋体" w:eastAsia="仿宋_GB2312" w:cs="Times New Roman"/>
          <w:b w:val="0"/>
          <w:color w:val="auto"/>
          <w:kern w:val="2"/>
          <w:sz w:val="28"/>
          <w:szCs w:val="28"/>
          <w:lang w:val="en-US" w:eastAsia="zh-CN" w:bidi="ar-SA"/>
        </w:rPr>
      </w:pPr>
      <w:r>
        <w:rPr>
          <w:rFonts w:hint="eastAsia" w:ascii="仿宋_GB2312" w:hAnsi="宋体" w:eastAsia="仿宋_GB2312" w:cs="Times New Roman"/>
          <w:b w:val="0"/>
          <w:color w:val="auto"/>
          <w:kern w:val="2"/>
          <w:sz w:val="28"/>
          <w:szCs w:val="28"/>
          <w:lang w:val="en-US" w:eastAsia="zh-CN" w:bidi="ar-SA"/>
        </w:rPr>
        <w:t>2.软硬件故障处理：硬件维保服务内容包括但不限于在7*24时间范围内，设备发生故障，按照我行要求，维保厂商派工程师在4小时内赶到现场，协助进行故障排查并修复。在7*24时间范围内，设备发生硬件故障，在接到报障后4小时内将完好备件运抵现场，派工程师到现场进行免费更换，相关设备配件免费维修更换。软件维保服务内容包括但不限于原厂7*24维保服务、故障处理、软件升级、网络巡检、系统巡检、平台容量分析、技术咨询及技术支持、技术培训等。</w:t>
      </w:r>
    </w:p>
    <w:p>
      <w:pPr>
        <w:ind w:right="420" w:firstLine="560" w:firstLineChars="200"/>
        <w:rPr>
          <w:rFonts w:hint="eastAsia" w:ascii="仿宋_GB2312" w:hAnsi="宋体" w:eastAsia="仿宋_GB2312" w:cs="Times New Roman"/>
          <w:b w:val="0"/>
          <w:color w:val="auto"/>
          <w:kern w:val="2"/>
          <w:sz w:val="28"/>
          <w:szCs w:val="28"/>
          <w:lang w:val="en-US" w:eastAsia="zh-CN" w:bidi="ar-SA"/>
        </w:rPr>
      </w:pPr>
      <w:r>
        <w:rPr>
          <w:rFonts w:hint="eastAsia" w:ascii="仿宋_GB2312" w:hAnsi="宋体" w:eastAsia="仿宋_GB2312" w:cs="Times New Roman"/>
          <w:b w:val="0"/>
          <w:color w:val="auto"/>
          <w:kern w:val="2"/>
          <w:sz w:val="28"/>
          <w:szCs w:val="28"/>
          <w:lang w:val="en-US" w:eastAsia="zh-CN" w:bidi="ar-SA"/>
        </w:rPr>
        <w:t>3.维保商为我行提供1人2</w:t>
      </w:r>
      <w:bookmarkStart w:id="0" w:name="_GoBack"/>
      <w:bookmarkEnd w:id="0"/>
      <w:r>
        <w:rPr>
          <w:rFonts w:hint="eastAsia" w:ascii="仿宋_GB2312" w:hAnsi="宋体" w:eastAsia="仿宋_GB2312" w:cs="Times New Roman"/>
          <w:b w:val="0"/>
          <w:color w:val="auto"/>
          <w:kern w:val="2"/>
          <w:sz w:val="28"/>
          <w:szCs w:val="28"/>
          <w:lang w:val="en-US" w:eastAsia="zh-CN" w:bidi="ar-SA"/>
        </w:rPr>
        <w:t>年5*8免费驻场服务。应我行要求，在关键时间点（如银行年终决算、重要节假日、重要应急演练等），服务商应派工程师到现场技术保障。服务商向我行提供远程技术支持服务，包括但不限于7*24小时技术热线支持，服务商需提供工程师为我行进行远程指导系统故障排除、技术咨询等服务。</w:t>
      </w:r>
    </w:p>
    <w:p>
      <w:pPr>
        <w:ind w:right="420" w:firstLine="560" w:firstLineChars="200"/>
        <w:rPr>
          <w:rFonts w:hint="eastAsia" w:ascii="仿宋_GB2312" w:hAnsi="宋体" w:eastAsia="仿宋_GB2312" w:cs="Times New Roman"/>
          <w:b w:val="0"/>
          <w:color w:val="auto"/>
          <w:kern w:val="2"/>
          <w:sz w:val="28"/>
          <w:szCs w:val="28"/>
          <w:lang w:val="en-US" w:eastAsia="zh-CN" w:bidi="ar-SA"/>
        </w:rPr>
      </w:pPr>
      <w:r>
        <w:rPr>
          <w:rFonts w:hint="eastAsia" w:ascii="仿宋_GB2312" w:hAnsi="宋体" w:eastAsia="仿宋_GB2312" w:cs="Times New Roman"/>
          <w:b w:val="0"/>
          <w:color w:val="auto"/>
          <w:kern w:val="2"/>
          <w:sz w:val="28"/>
          <w:szCs w:val="28"/>
          <w:lang w:val="en-US" w:eastAsia="zh-CN" w:bidi="ar-SA"/>
        </w:rPr>
        <w:t>4.服务商需制定和完善系统维护手册、应急手册及应急演练方案，并配合我行实施应急演练。在服务期内，及时解决系统故障，对我行上月所发生的故障或问题进行汇总分析，提出改进建议，避免故障重复发生。</w:t>
      </w:r>
    </w:p>
    <w:p>
      <w:pPr>
        <w:ind w:right="420" w:firstLine="560" w:firstLineChars="200"/>
        <w:rPr>
          <w:rFonts w:hint="eastAsia" w:ascii="仿宋_GB2312" w:hAnsi="宋体" w:eastAsia="仿宋_GB2312" w:cs="Times New Roman"/>
          <w:b w:val="0"/>
          <w:color w:val="auto"/>
          <w:kern w:val="2"/>
          <w:sz w:val="28"/>
          <w:szCs w:val="28"/>
          <w:lang w:val="en-US" w:eastAsia="zh-CN" w:bidi="ar-SA"/>
        </w:rPr>
      </w:pPr>
      <w:r>
        <w:rPr>
          <w:rFonts w:hint="eastAsia" w:ascii="仿宋_GB2312" w:hAnsi="宋体" w:eastAsia="仿宋_GB2312" w:cs="Times New Roman"/>
          <w:b w:val="0"/>
          <w:color w:val="auto"/>
          <w:kern w:val="2"/>
          <w:sz w:val="28"/>
          <w:szCs w:val="28"/>
          <w:lang w:val="en-US" w:eastAsia="zh-CN" w:bidi="ar-SA"/>
        </w:rPr>
        <w:t>5.除正常的技术支持电话以外，服务商须另设立客户投诉渠道，受理我行对服务商服务的投诉。服务商应保证从受理我行投诉到向我行初次回复处理意见的时间不超过2小时。服务商对投诉的处理以投诉问题得到解决和我行满意为结束，时间不得超过半个月。</w:t>
      </w:r>
    </w:p>
    <w:p>
      <w:pPr>
        <w:ind w:right="420" w:firstLine="560" w:firstLineChars="200"/>
        <w:rPr>
          <w:rFonts w:hint="eastAsia" w:ascii="仿宋_GB2312" w:hAnsi="宋体" w:eastAsia="仿宋_GB2312" w:cs="Times New Roman"/>
          <w:b w:val="0"/>
          <w:color w:val="auto"/>
          <w:kern w:val="2"/>
          <w:sz w:val="28"/>
          <w:szCs w:val="28"/>
          <w:lang w:val="en-GB" w:eastAsia="zh-CN" w:bidi="ar-SA"/>
        </w:rPr>
      </w:pPr>
      <w:r>
        <w:rPr>
          <w:rFonts w:hint="eastAsia" w:ascii="仿宋_GB2312" w:hAnsi="宋体" w:eastAsia="仿宋_GB2312" w:cs="Times New Roman"/>
          <w:b w:val="0"/>
          <w:color w:val="auto"/>
          <w:kern w:val="2"/>
          <w:sz w:val="28"/>
          <w:szCs w:val="28"/>
          <w:lang w:val="en-US" w:eastAsia="zh-CN" w:bidi="ar-SA"/>
        </w:rPr>
        <w:t>6.提供免费的</w:t>
      </w:r>
      <w:r>
        <w:rPr>
          <w:rFonts w:hint="eastAsia" w:ascii="仿宋_GB2312" w:hAnsi="宋体" w:eastAsia="仿宋_GB2312" w:cs="Times New Roman"/>
          <w:b w:val="0"/>
          <w:color w:val="auto"/>
          <w:kern w:val="2"/>
          <w:sz w:val="28"/>
          <w:szCs w:val="28"/>
          <w:lang w:val="en-GB" w:eastAsia="zh-CN" w:bidi="ar-SA"/>
        </w:rPr>
        <w:t>升级服务：在出现新版本、发现BUG以及等级保护检查中发现的问题按照相关要求，进行免费升级和整改，以保证系统的安全性和稳定性。</w:t>
      </w:r>
    </w:p>
    <w:p>
      <w:pPr>
        <w:ind w:right="420" w:firstLine="560" w:firstLineChars="200"/>
        <w:rPr>
          <w:rFonts w:hint="eastAsia" w:ascii="仿宋_GB2312" w:hAnsi="宋体" w:eastAsia="仿宋_GB2312" w:cs="Times New Roman"/>
          <w:b w:val="0"/>
          <w:color w:val="auto"/>
          <w:kern w:val="2"/>
          <w:sz w:val="28"/>
          <w:szCs w:val="28"/>
          <w:lang w:val="en-GB" w:eastAsia="zh-CN" w:bidi="ar-SA"/>
        </w:rPr>
      </w:pPr>
      <w:r>
        <w:rPr>
          <w:rFonts w:hint="eastAsia" w:ascii="仿宋_GB2312" w:hAnsi="宋体" w:eastAsia="仿宋_GB2312" w:cs="Times New Roman"/>
          <w:b w:val="0"/>
          <w:color w:val="auto"/>
          <w:kern w:val="2"/>
          <w:sz w:val="28"/>
          <w:szCs w:val="28"/>
          <w:lang w:val="en-US" w:eastAsia="zh-CN" w:bidi="ar-SA"/>
        </w:rPr>
        <w:t>7.</w:t>
      </w:r>
      <w:r>
        <w:rPr>
          <w:rFonts w:hint="eastAsia" w:ascii="仿宋_GB2312" w:hAnsi="宋体" w:eastAsia="仿宋_GB2312" w:cs="Times New Roman"/>
          <w:b w:val="0"/>
          <w:color w:val="auto"/>
          <w:kern w:val="2"/>
          <w:sz w:val="28"/>
          <w:szCs w:val="28"/>
          <w:lang w:val="en-GB" w:eastAsia="zh-CN" w:bidi="ar-SA"/>
        </w:rPr>
        <w:t>提供应急手册及应急演练服务：要求协助制定和完善应急手册及演练方案，并配合实施应急演练。</w:t>
      </w:r>
    </w:p>
    <w:p>
      <w:pPr>
        <w:rPr>
          <w:rFonts w:hint="eastAsia"/>
          <w:sz w:val="36"/>
          <w:szCs w:val="22"/>
          <w:lang w:val="en-US" w:eastAsia="zh-CN"/>
        </w:rPr>
      </w:pPr>
      <w:r>
        <w:rPr>
          <w:rFonts w:hint="eastAsia"/>
          <w:sz w:val="36"/>
          <w:szCs w:val="22"/>
          <w:lang w:val="en-US" w:eastAsia="zh-CN"/>
        </w:rPr>
        <w:br w:type="page"/>
      </w:r>
    </w:p>
    <w:p>
      <w:pPr>
        <w:pStyle w:val="6"/>
        <w:ind w:left="0" w:leftChars="0" w:firstLine="0" w:firstLineChars="0"/>
        <w:jc w:val="left"/>
        <w:rPr>
          <w:rFonts w:hint="eastAsia"/>
          <w:sz w:val="32"/>
          <w:szCs w:val="21"/>
          <w:lang w:val="en-US" w:eastAsia="zh-CN"/>
        </w:rPr>
      </w:pPr>
      <w:r>
        <w:rPr>
          <w:rFonts w:hint="eastAsia"/>
          <w:sz w:val="32"/>
          <w:szCs w:val="21"/>
          <w:lang w:val="en-US" w:eastAsia="zh-CN"/>
        </w:rPr>
        <w:t>附件：维保设备清单</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1"/>
        <w:gridCol w:w="2654"/>
        <w:gridCol w:w="4321"/>
        <w:gridCol w:w="564"/>
        <w:gridCol w:w="4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8" w:space="0"/>
              <w:left w:val="single" w:color="000000" w:sz="8" w:space="0"/>
              <w:bottom w:val="single" w:color="000000" w:sz="8" w:space="0"/>
              <w:right w:val="single" w:color="000000" w:sz="8" w:space="0"/>
            </w:tcBorders>
            <w:shd w:val="clear" w:color="auto" w:fill="BDD7EE"/>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0" w:type="auto"/>
            <w:tcBorders>
              <w:top w:val="single" w:color="000000" w:sz="8" w:space="0"/>
              <w:left w:val="nil"/>
              <w:bottom w:val="single" w:color="000000" w:sz="8" w:space="0"/>
              <w:right w:val="single" w:color="000000" w:sz="8" w:space="0"/>
            </w:tcBorders>
            <w:shd w:val="clear" w:color="auto" w:fill="BDD7EE"/>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设备名称</w:t>
            </w:r>
          </w:p>
        </w:tc>
        <w:tc>
          <w:tcPr>
            <w:tcW w:w="0" w:type="auto"/>
            <w:tcBorders>
              <w:top w:val="single" w:color="000000" w:sz="8" w:space="0"/>
              <w:left w:val="nil"/>
              <w:bottom w:val="single" w:color="000000" w:sz="8" w:space="0"/>
              <w:right w:val="single" w:color="000000" w:sz="8" w:space="0"/>
            </w:tcBorders>
            <w:shd w:val="clear" w:color="auto" w:fill="BDD7EE"/>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品牌及说明</w:t>
            </w:r>
          </w:p>
        </w:tc>
        <w:tc>
          <w:tcPr>
            <w:tcW w:w="0" w:type="auto"/>
            <w:tcBorders>
              <w:top w:val="single" w:color="000000" w:sz="8" w:space="0"/>
              <w:left w:val="nil"/>
              <w:bottom w:val="single" w:color="000000" w:sz="8" w:space="0"/>
              <w:right w:val="single" w:color="000000" w:sz="8" w:space="0"/>
            </w:tcBorders>
            <w:shd w:val="clear" w:color="auto" w:fill="BDD7EE"/>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0" w:type="auto"/>
            <w:tcBorders>
              <w:top w:val="single" w:color="000000" w:sz="8" w:space="0"/>
              <w:left w:val="nil"/>
              <w:bottom w:val="single" w:color="000000" w:sz="8" w:space="0"/>
              <w:right w:val="single" w:color="000000" w:sz="8" w:space="0"/>
            </w:tcBorders>
            <w:shd w:val="clear" w:color="auto" w:fill="BDD7EE"/>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gridSpan w:val="4"/>
            <w:tcBorders>
              <w:top w:val="nil"/>
              <w:left w:val="nil"/>
              <w:bottom w:val="single" w:color="000000" w:sz="8" w:space="0"/>
              <w:right w:val="single" w:color="000000" w:sz="8" w:space="0"/>
            </w:tcBorders>
            <w:shd w:val="clear" w:color="auto" w:fill="DDEBF7"/>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一、软件平台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平台软件</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浩云Telesky金融安防联网综合管理软件V2.0</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tcBorders>
              <w:top w:val="single" w:color="000000" w:sz="8" w:space="0"/>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gridSpan w:val="4"/>
            <w:tcBorders>
              <w:top w:val="nil"/>
              <w:left w:val="nil"/>
              <w:bottom w:val="single" w:color="000000" w:sz="8" w:space="0"/>
              <w:right w:val="single" w:color="000000" w:sz="8" w:space="0"/>
            </w:tcBorders>
            <w:shd w:val="clear" w:color="auto" w:fill="DDEBF7"/>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二、监控中心主机设备、软件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智能安防云存储（含如下套件）</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浩云Telesky云存储（含如下套件）</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1.1智能安防云存储中心管理端套件</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浩云Telesky云存储系统软件V1.1（管理端套件）</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1.2智能安防云存储数据库端套件</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浩云Telesky云存储系统软件V1.1（数据库端套件）</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1.3智能安防云存储系统管理节点（每节点含一台服务器）</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浩云TSS-GN2007</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1.4智能安防云存储系统存储节点（每节点24盘位）</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浩云TSS-SN2100/24</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1.5云存储管理软件，云存储软件，云存储接入软件、云存储运维管理软件</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浩云Telesky云存储系统软件V1.1（云存储管理软件，云存储软件，云存储接入软件、云存储运维管理软件）</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 4T企业级硬盘</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希捷4TB</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0" w:type="auto"/>
            <w:gridSpan w:val="4"/>
            <w:tcBorders>
              <w:top w:val="nil"/>
              <w:left w:val="nil"/>
              <w:bottom w:val="single" w:color="000000" w:sz="8" w:space="0"/>
              <w:right w:val="single" w:color="000000" w:sz="8" w:space="0"/>
            </w:tcBorders>
            <w:shd w:val="clear" w:color="auto" w:fill="DDEBF7"/>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三、监控中心电视墙显示系统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电视墙高清解码器</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浩云TSS-PW29HD</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55寸超窄边液晶拼接屏</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大华DHL550UT-E-MW</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LED显示屏</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室内单红色，16990mm*244mm</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HDMI高清视频矩阵矩阵</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浩云TSS-CTA48HD</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5"/>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0" w:type="auto"/>
            <w:gridSpan w:val="4"/>
            <w:tcBorders>
              <w:top w:val="nil"/>
              <w:left w:val="nil"/>
              <w:bottom w:val="single" w:color="000000" w:sz="8" w:space="0"/>
              <w:right w:val="single" w:color="000000" w:sz="8" w:space="0"/>
            </w:tcBorders>
            <w:shd w:val="clear" w:color="auto" w:fill="DDEBF7"/>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四、应急指挥中心电视墙显示系统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图形解码器</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浩云TSS-PW29HD</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0" w:type="auto"/>
            <w:gridSpan w:val="4"/>
            <w:tcBorders>
              <w:top w:val="nil"/>
              <w:left w:val="nil"/>
              <w:bottom w:val="single" w:color="000000" w:sz="8" w:space="0"/>
              <w:right w:val="single" w:color="000000" w:sz="8" w:space="0"/>
            </w:tcBorders>
            <w:shd w:val="clear" w:color="auto" w:fill="DDEBF7"/>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五、监控中心自身安防系统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监控中心运行信息记录系统</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浩云TSS-VS01</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监控中心值班员管控系统</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浩云TSS-DUTY 1.3</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门禁控制系统</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浩云TSS-CTB301</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5"/>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0" w:type="auto"/>
            <w:gridSpan w:val="4"/>
            <w:tcBorders>
              <w:top w:val="nil"/>
              <w:left w:val="nil"/>
              <w:bottom w:val="single" w:color="000000" w:sz="8" w:space="0"/>
              <w:right w:val="single" w:color="000000" w:sz="8" w:space="0"/>
            </w:tcBorders>
            <w:shd w:val="clear" w:color="auto" w:fill="DDEBF7"/>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六、监控中心其它辅助设备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IP对讲中心寻呼话筒</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浩云TSS-TK200Z/H</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麦克风</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浩云TSS-TK200Z/CM</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5"/>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0" w:type="auto"/>
            <w:gridSpan w:val="4"/>
            <w:tcBorders>
              <w:top w:val="nil"/>
              <w:left w:val="nil"/>
              <w:bottom w:val="single" w:color="000000" w:sz="8" w:space="0"/>
              <w:right w:val="single" w:color="000000" w:sz="8" w:space="0"/>
            </w:tcBorders>
            <w:shd w:val="clear" w:color="auto" w:fill="C7DAF1"/>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七、月坛大厦、总行营业部技防设备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摄像头</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含彩色半球、枪机等摄像头</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录像机</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NVR硬盘录像机</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报警设备</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报警主机、管理软件、报警键盘、单防区模块、通讯转换器、接口模块、声光报警器、报警联动模块等</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门禁设备</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双门门禁控制器、读卡器、开门按钮、门磁开关、门禁管理软件等</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r>
    </w:tbl>
    <w:p>
      <w:pPr>
        <w:rPr>
          <w:sz w:val="20"/>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1A5AC7"/>
    <w:multiLevelType w:val="multilevel"/>
    <w:tmpl w:val="5C1A5AC7"/>
    <w:lvl w:ilvl="0" w:tentative="0">
      <w:start w:val="1"/>
      <w:numFmt w:val="chineseCountingThousand"/>
      <w:pStyle w:val="3"/>
      <w:lvlText w:val="%1、"/>
      <w:lvlJc w:val="left"/>
      <w:pPr>
        <w:ind w:left="57" w:firstLine="368"/>
      </w:pPr>
      <w:rPr>
        <w:rFonts w:hint="eastAsia" w:ascii="黑体" w:hAnsi="黑体" w:eastAsia="黑体"/>
        <w:b w:val="0"/>
        <w:i w:val="0"/>
        <w:sz w:val="32"/>
      </w:rPr>
    </w:lvl>
    <w:lvl w:ilvl="1" w:tentative="0">
      <w:start w:val="1"/>
      <w:numFmt w:val="chineseCountingThousand"/>
      <w:pStyle w:val="4"/>
      <w:lvlText w:val="（%2）"/>
      <w:lvlJc w:val="left"/>
      <w:pPr>
        <w:ind w:left="425" w:firstLine="0"/>
      </w:pPr>
      <w:rPr>
        <w:rFonts w:hint="eastAsia" w:ascii="楷体_GB2312" w:eastAsia="楷体_GB2312"/>
        <w:b/>
        <w:i w:val="0"/>
        <w:sz w:val="32"/>
      </w:rPr>
    </w:lvl>
    <w:lvl w:ilvl="2" w:tentative="0">
      <w:start w:val="1"/>
      <w:numFmt w:val="decimal"/>
      <w:pStyle w:val="12"/>
      <w:lvlText w:val="%3."/>
      <w:lvlJc w:val="left"/>
      <w:pPr>
        <w:ind w:left="425" w:firstLine="0"/>
      </w:pPr>
      <w:rPr>
        <w:rFonts w:hint="eastAsia" w:ascii="仿宋_GB2312" w:eastAsia="仿宋_GB2312"/>
        <w:b/>
        <w:i w:val="0"/>
        <w:sz w:val="32"/>
      </w:rPr>
    </w:lvl>
    <w:lvl w:ilvl="3" w:tentative="0">
      <w:start w:val="1"/>
      <w:numFmt w:val="decimal"/>
      <w:lvlText w:val="%1.%2.%3.%4"/>
      <w:lvlJc w:val="left"/>
      <w:pPr>
        <w:ind w:left="425" w:firstLine="0"/>
      </w:pPr>
      <w:rPr>
        <w:rFonts w:hint="eastAsia"/>
      </w:rPr>
    </w:lvl>
    <w:lvl w:ilvl="4" w:tentative="0">
      <w:start w:val="1"/>
      <w:numFmt w:val="decimal"/>
      <w:lvlText w:val="%1.%2.%3.%4.%5"/>
      <w:lvlJc w:val="left"/>
      <w:pPr>
        <w:ind w:left="425" w:firstLine="0"/>
      </w:pPr>
      <w:rPr>
        <w:rFonts w:hint="eastAsia"/>
      </w:rPr>
    </w:lvl>
    <w:lvl w:ilvl="5" w:tentative="0">
      <w:start w:val="1"/>
      <w:numFmt w:val="decimal"/>
      <w:lvlText w:val="%1.%2.%3.%4.%5.%6"/>
      <w:lvlJc w:val="left"/>
      <w:pPr>
        <w:ind w:left="425" w:firstLine="0"/>
      </w:pPr>
      <w:rPr>
        <w:rFonts w:hint="eastAsia"/>
      </w:rPr>
    </w:lvl>
    <w:lvl w:ilvl="6" w:tentative="0">
      <w:start w:val="1"/>
      <w:numFmt w:val="decimal"/>
      <w:lvlText w:val="%1.%2.%3.%4.%5.%6.%7"/>
      <w:lvlJc w:val="left"/>
      <w:pPr>
        <w:ind w:left="425" w:firstLine="0"/>
      </w:pPr>
      <w:rPr>
        <w:rFonts w:hint="eastAsia"/>
      </w:rPr>
    </w:lvl>
    <w:lvl w:ilvl="7" w:tentative="0">
      <w:start w:val="1"/>
      <w:numFmt w:val="decimal"/>
      <w:lvlText w:val="%1.%2.%3.%4.%5.%6.%7.%8"/>
      <w:lvlJc w:val="left"/>
      <w:pPr>
        <w:ind w:left="425" w:firstLine="0"/>
      </w:pPr>
      <w:rPr>
        <w:rFonts w:hint="eastAsia"/>
      </w:rPr>
    </w:lvl>
    <w:lvl w:ilvl="8" w:tentative="0">
      <w:start w:val="1"/>
      <w:numFmt w:val="decimal"/>
      <w:lvlText w:val="%1.%2.%3.%4.%5.%6.%7.%8.%9"/>
      <w:lvlJc w:val="left"/>
      <w:pPr>
        <w:ind w:left="425"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45388A"/>
    <w:rsid w:val="07D92CC4"/>
    <w:rsid w:val="0BC816B0"/>
    <w:rsid w:val="22E16382"/>
    <w:rsid w:val="26912CA2"/>
    <w:rsid w:val="2CE1451B"/>
    <w:rsid w:val="2D45388A"/>
    <w:rsid w:val="3E1F757A"/>
    <w:rsid w:val="3FEF3EEF"/>
    <w:rsid w:val="4D594475"/>
    <w:rsid w:val="52D4753C"/>
    <w:rsid w:val="5E7C07FF"/>
    <w:rsid w:val="69DC1DCB"/>
    <w:rsid w:val="79362467"/>
    <w:rsid w:val="7A785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beforeLines="0" w:beforeAutospacing="0" w:after="330" w:afterLines="0" w:afterAutospacing="0" w:line="576" w:lineRule="auto"/>
      <w:ind w:left="57" w:firstLine="368"/>
      <w:outlineLvl w:val="0"/>
    </w:pPr>
    <w:rPr>
      <w:b/>
      <w:kern w:val="44"/>
      <w:sz w:val="44"/>
    </w:rPr>
  </w:style>
  <w:style w:type="paragraph" w:styleId="4">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425"/>
      <w:outlineLvl w:val="1"/>
    </w:pPr>
    <w:rPr>
      <w:rFonts w:ascii="Arial" w:hAnsi="Arial" w:eastAsia="黑体"/>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Indent"/>
    <w:basedOn w:val="1"/>
    <w:qFormat/>
    <w:uiPriority w:val="0"/>
    <w:pPr>
      <w:widowControl w:val="0"/>
      <w:spacing w:line="240" w:lineRule="auto"/>
      <w:ind w:firstLine="420" w:firstLineChars="0"/>
      <w:jc w:val="both"/>
    </w:pPr>
    <w:rPr>
      <w:rFonts w:ascii="Calibri" w:hAnsi="Calibri" w:eastAsia="宋体" w:cs="Times New Roman"/>
      <w:kern w:val="2"/>
      <w:sz w:val="21"/>
      <w:lang w:val="en-US" w:eastAsia="zh-CN" w:bidi="ar-SA"/>
    </w:rPr>
  </w:style>
  <w:style w:type="paragraph" w:styleId="6">
    <w:name w:val="Body Text"/>
    <w:basedOn w:val="1"/>
    <w:next w:val="5"/>
    <w:unhideWhenUsed/>
    <w:qFormat/>
    <w:uiPriority w:val="1"/>
    <w:pPr>
      <w:spacing w:beforeLines="0" w:afterLines="0"/>
      <w:ind w:left="2435"/>
    </w:pPr>
    <w:rPr>
      <w:rFonts w:hint="eastAsia" w:ascii="宋体" w:hAnsi="宋体" w:eastAsia="宋体"/>
      <w:b/>
      <w:sz w:val="40"/>
    </w:rPr>
  </w:style>
  <w:style w:type="paragraph" w:styleId="7">
    <w:name w:val="Plain Text"/>
    <w:basedOn w:val="1"/>
    <w:qFormat/>
    <w:uiPriority w:val="0"/>
    <w:rPr>
      <w:rFonts w:ascii="宋体" w:hAnsi="Courier New"/>
      <w:kern w:val="0"/>
      <w:sz w:val="20"/>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样式1"/>
    <w:basedOn w:val="1"/>
    <w:qFormat/>
    <w:uiPriority w:val="0"/>
    <w:pPr>
      <w:ind w:firstLine="640"/>
    </w:pPr>
    <w:rPr>
      <w:rFonts w:hint="eastAsia" w:ascii="仿宋_GB2312" w:hAnsi="仿宋_GB2312" w:eastAsia="仿宋_GB2312" w:cs="Times New Roman"/>
      <w:color w:val="FF0000"/>
      <w:sz w:val="32"/>
      <w:szCs w:val="32"/>
      <w:lang w:bidi="he-IL"/>
    </w:rPr>
  </w:style>
  <w:style w:type="paragraph" w:customStyle="1" w:styleId="12">
    <w:name w:val="样式2"/>
    <w:basedOn w:val="1"/>
    <w:qFormat/>
    <w:uiPriority w:val="0"/>
    <w:pPr>
      <w:numPr>
        <w:ilvl w:val="2"/>
        <w:numId w:val="1"/>
      </w:numPr>
      <w:ind w:left="74" w:firstLine="635" w:firstLineChars="0"/>
      <w:outlineLvl w:val="2"/>
    </w:pPr>
    <w:rPr>
      <w:rFonts w:hint="eastAsia" w:ascii="仿宋_GB2312" w:hAnsi="仿宋_GB2312" w:eastAsia="仿宋_GB2312" w:cs="Times New Roman"/>
      <w:b/>
      <w:bCs/>
      <w:sz w:val="32"/>
      <w:szCs w:val="32"/>
      <w:lang w:bidi="he-I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2023-10-17T08:06:00Z</dcterms:created>
  <dc:creator>匿名用户</dc:creator>
  <cp:lastModifiedBy>王毅</cp:lastModifiedBy>
  <dcterms:modified xsi:type="dcterms:W3CDTF">2026-05-22T07:01:14Z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FFA669BED41E41A38B9103D5CE98E483</vt:lpwstr>
  </property>
</Properties>
</file>