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eastAsia"/>
          <w:lang w:val="en-US" w:eastAsia="zh-CN"/>
        </w:rPr>
        <w:t>服务内容</w:t>
      </w:r>
    </w:p>
    <w:p>
      <w:bookmarkStart w:id="0" w:name="_GoBack"/>
      <w:bookmarkEnd w:id="0"/>
    </w:p>
    <w:tbl>
      <w:tblPr>
        <w:tblStyle w:val="5"/>
        <w:tblW w:w="8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976"/>
        <w:gridCol w:w="5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80" w:type="dxa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序号</w:t>
            </w:r>
          </w:p>
        </w:tc>
        <w:tc>
          <w:tcPr>
            <w:tcW w:w="1976" w:type="dxa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服务内容</w:t>
            </w:r>
          </w:p>
        </w:tc>
        <w:tc>
          <w:tcPr>
            <w:tcW w:w="5532" w:type="dxa"/>
            <w:shd w:val="clear" w:color="auto" w:fill="D7D7D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机房基础设施运维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1）要求7×24小时工作制，负责数据中心机房UPS、发电机、精密空调等设备的日常巡检及机房环境巡检，并做好相关运行参数记录，发现异常情况及时上报并按要求处理。服务人员对故障隐患排除，具备故障判断和分析能力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（2）配合动力基础设施变更和设备维保巡检工作。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（3）通过动环、电力监控系统监控空港基础设施运行情况。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（4）远程监控开发机房与总行边缘机房基础设施环境运行情况，及时上报故障问题。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（5）保障空港数据中心内各配电室、UPS室、机房等重要区域消防安全。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6）负责机房基础设施安全运行，做好机房基础设施应急保障，对出现情况设备设施做好应急处置工作，保障机房运行正常。同时配合参加行内应急演练工作，完成业务连续性相关演练任务。配合做好应急预案的修订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（7）根据设备上架情况及机房环境温湿度情况，负责机房通风地板调优及精密空调调优工作。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办公区供配电系统运维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要求7×24小时工作制，负责园区总配电室和办公楼强电日常巡检、故障排查、维修及日常维护，并配合施工监督等工作。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办公区弱电运维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要求7×24小时工作制，负责园区弱电间日常环境巡检，弱电间至工位的弱电线路维修。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高压预防性试验及高压用具检测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每年进行高压设备预防性试验，每半年进行高压用具检测，保障高压供配电设备的安全稳定运行，保证高压用具有效，并取得相关部门认可的检测报告。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防雷接地检测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每年对两办公楼和机房防雷接地系统进行检测，取得相关部门认可的检测报告。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电检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每年度对两办公楼和机房的各配电系统进行检测，取得相关部门认可的检测报告。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7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安全生产</w:t>
            </w:r>
            <w:r>
              <w:rPr>
                <w:rFonts w:hint="eastAsia" w:asci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工作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</w:t>
            </w:r>
            <w:r>
              <w:rPr>
                <w:rFonts w:hint="eastAsia" w:asci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）负责园区内项目实施的用电安全培训、监督、检查，每年进行不少于1次全员用电安全培训，不少于4次风险隐患排查。</w:t>
            </w:r>
          </w:p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（</w:t>
            </w:r>
            <w:r>
              <w:rPr>
                <w:rFonts w:hint="eastAsia" w:asci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）落实园区防汛工作，配合我行防汛工作部署，及时对空港数据中心各配电室、机房、UPS室、柴发室、变压器室、办公区强弱电间进行全面的汛情隐患排查，协同安全生产管理小组做好应急处置工作。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BE0458"/>
    <w:multiLevelType w:val="multilevel"/>
    <w:tmpl w:val="70BE0458"/>
    <w:lvl w:ilvl="0" w:tentative="0">
      <w:start w:val="1"/>
      <w:numFmt w:val="chineseCountingThousand"/>
      <w:pStyle w:val="3"/>
      <w:lvlText w:val="%1、"/>
      <w:lvlJc w:val="left"/>
      <w:pPr>
        <w:ind w:left="57" w:firstLine="368"/>
      </w:pPr>
      <w:rPr>
        <w:rFonts w:hint="eastAsia" w:ascii="黑体" w:hAnsi="黑体" w:eastAsia="黑体"/>
        <w:b w:val="0"/>
        <w:i w:val="0"/>
        <w:sz w:val="32"/>
      </w:rPr>
    </w:lvl>
    <w:lvl w:ilvl="1" w:tentative="0">
      <w:start w:val="1"/>
      <w:numFmt w:val="chineseCountingThousand"/>
      <w:lvlText w:val="（%2）"/>
      <w:lvlJc w:val="left"/>
      <w:pPr>
        <w:ind w:left="425" w:firstLine="0"/>
      </w:pPr>
      <w:rPr>
        <w:rFonts w:hint="eastAsia" w:ascii="楷体_GB2312" w:eastAsia="楷体_GB2312"/>
        <w:b/>
        <w:i w:val="0"/>
        <w:sz w:val="32"/>
      </w:rPr>
    </w:lvl>
    <w:lvl w:ilvl="2" w:tentative="0">
      <w:start w:val="1"/>
      <w:numFmt w:val="decimal"/>
      <w:lvlText w:val="%3."/>
      <w:lvlJc w:val="left"/>
      <w:pPr>
        <w:ind w:left="425" w:firstLine="0"/>
      </w:pPr>
      <w:rPr>
        <w:rFonts w:hint="eastAsia" w:ascii="仿宋_GB2312" w:eastAsia="仿宋_GB2312"/>
        <w:b/>
        <w:i w:val="0"/>
        <w:sz w:val="32"/>
      </w:rPr>
    </w:lvl>
    <w:lvl w:ilvl="3" w:tentative="0">
      <w:start w:val="1"/>
      <w:numFmt w:val="decimal"/>
      <w:lvlText w:val="%1.%2.%3.%4"/>
      <w:lvlJc w:val="left"/>
      <w:pPr>
        <w:ind w:left="425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425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425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5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25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B36AF"/>
    <w:rsid w:val="587B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tabs>
        <w:tab w:val="left" w:pos="1418"/>
      </w:tabs>
      <w:ind w:firstLine="652" w:firstLineChars="0"/>
      <w:outlineLvl w:val="0"/>
    </w:pPr>
    <w:rPr>
      <w:rFonts w:ascii="黑体" w:hAnsi="仿宋" w:eastAsia="黑体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2026-05-25T05:18:00Z</dcterms:created>
  <dc:creator>匿名用户</dc:creator>
  <cp:lastModifiedBy>匿名用户</cp:lastModifiedBy>
  <dcterms:modified xsi:type="dcterms:W3CDTF">2026-05-25T05:19:15Z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1EB47D7E36D642418B837C06A7682372</vt:lpwstr>
  </property>
</Properties>
</file>