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880"/>
        </w:tabs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技术需求说明书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家具材料必须是环保材料，特别是板材和漆料，本次招标的各类家具执行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以下</w:t>
      </w:r>
      <w:r>
        <w:rPr>
          <w:rFonts w:hint="eastAsia" w:ascii="仿宋" w:hAnsi="仿宋" w:eastAsia="仿宋" w:cs="仿宋"/>
          <w:sz w:val="32"/>
          <w:szCs w:val="32"/>
        </w:rPr>
        <w:t>绿色选择评定标准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胶粘剂中有害物质限量符合GB18583-2001标准的要求；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人造板及其制品中有害物质甲醛释放限量符合GB18580-2001标准的要求；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溶剂型木器涂料中有害物质限量符合GB18581-2001标准的要求；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木家具中有害物质限量符合GB18584-2001标准的要求。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其他采用的标准：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GB/T 18883-2002 室内空气质量标准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GB/T 3324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木制家具通用技术条件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GB/T 3325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金属家具通用技术条件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GB/T 3326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家具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桌、椅、凳类主要尺寸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GB/T 3327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家具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柜类主要尺寸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GB/T 1931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木材含水率测定方法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GB/T 1933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木材密度测定方法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GB/T 16799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家具用皮革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GB/T 10357.1   家具力学性能实验 桌类强度和耐久性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GB/T 10357.2   家具力学性能实验 椅凳类稳定性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GB/T 10357.3   家具力学性能实验 椅凳类强度和耐久性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GB/T 10357.4   家具力学性能实验 柜类稳定性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GB/T 10357.5   家具力学性能实验 柜类强度和耐久性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GB/T 13668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钢制书柜、资料柜通用技术条件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GB/T 13667.3   手动密集书架技术条件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GB 4893.1-4893.9 家具表面漆膜测定法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GB 18580-2001 室内装饰装修材料人造板极其制品中甲醛释放量限定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GB 18584      室内装饰装修材料木家具中有害物质限定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GB 1720       漆膜附着力测定法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QB/T 2384     木制写字桌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QB/T 2530     木制柜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QB/T 1241     家具五金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家具拉手安装尺寸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QB/T 2454     家具五金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抽屉导轨要求和检验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QB/T 1950-1952 家具质量检验及质量评定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QB/T 1951.1    木家具质量检验及质量评定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QB/T 1952.1    软体家具 沙发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QB/T 2280      转椅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QB/T 3655      家具表面软质覆面材料剥离强度的测定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1899" w:leftChars="400" w:hanging="1059" w:hangingChars="3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﹣  QB/T 3656   家具表面硬质覆面材料剥离强度的测定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both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具体技术规格和要求：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960" w:firstLineChars="3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主、辅材要求：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20"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中密度板：绿色环保优质中密度板。游离甲醛释放量≤</w:t>
      </w:r>
      <w:r>
        <w:rPr>
          <w:rFonts w:hint="eastAsia" w:ascii="仿宋" w:hAnsi="仿宋" w:eastAsia="仿宋" w:cs="仿宋"/>
          <w:bCs/>
          <w:sz w:val="32"/>
          <w:szCs w:val="32"/>
        </w:rPr>
        <w:t>3mg/100g或</w:t>
      </w:r>
      <w:r>
        <w:rPr>
          <w:rFonts w:hint="eastAsia" w:ascii="仿宋" w:hAnsi="仿宋" w:eastAsia="仿宋" w:cs="仿宋"/>
          <w:sz w:val="32"/>
          <w:szCs w:val="32"/>
        </w:rPr>
        <w:t>≤0.5mg/L。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认证：通过GB/T1900-2000，供应厂商通过ISO9001:2000认证。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钢板：采用国产一级电解钢板（冷轧钢板，电解处理）。符合JIS G3313 SECC标准；厚度≥0.8mm。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4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防火板采用国际知名优质品牌。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4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木家具中使用的木材含水率≤12%。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4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金属涂料：通过ISO14001质量认证的环保涂料。工艺要求：表面均采用亚光粉体涂料，涂层厚度实测值为70-80um。光泽度：采用60°入射角，为50%-60%，符合GB1743-79标准；表面硬度：符合GB6739-86标准；耐冲击力：符合GB1732-79标准；柔韧性符合GB6742标准；耐水性：将涂层试片浸泡于90℃热水中，8小时无变化，符合GB1733-79标准；附着力符合GB9286标准；耐酸雾性：将涂层试片放置于含盐水蒸汽环境中，250小时无变化，符合JISS400-7.8标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4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木皮：国际知名优质木皮。标准厚度0.6mm，宽度标准≥200mm。可做开放漆，也可做封闭漆。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4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实木类采用环保油漆：符合GB18584-2001标准。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4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环保粘合剂：甲醛&lt;500mg/kg（需要查标准）；苯、甲苯、二甲苯、乙苯&lt;1000mg/kg认证：符合：HJBZ28-1998标准认证。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4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sz w:val="32"/>
          <w:szCs w:val="32"/>
        </w:rPr>
        <w:t>国际优质真皮：要求：产地、规格：一级牛皮。厚度 1.3-1.5mm；撕裂强求度&gt;35N/mm；断裂伸长率&lt;80%；颜色摩擦牢度&gt;4.5/3.5(干/湿)。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4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sz w:val="32"/>
          <w:szCs w:val="32"/>
        </w:rPr>
        <w:t>高密度海绵：优质高回弹PU泡棉，座面密度≥35KG/m</w:t>
      </w:r>
      <w:r>
        <w:rPr>
          <w:rFonts w:hint="eastAsia" w:ascii="仿宋" w:hAnsi="仿宋" w:eastAsia="仿宋" w:cs="仿宋"/>
          <w:sz w:val="32"/>
          <w:szCs w:val="32"/>
          <w:vertAlign w:val="superscript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，背密度≥30KG/m</w:t>
      </w:r>
      <w:r>
        <w:rPr>
          <w:rFonts w:hint="eastAsia" w:ascii="仿宋" w:hAnsi="仿宋" w:eastAsia="仿宋" w:cs="仿宋"/>
          <w:sz w:val="32"/>
          <w:szCs w:val="32"/>
          <w:vertAlign w:val="superscript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，回弹性≥41%，海绵采用高密度低燃性泡胶，点燃后不产生毒气，离开火源后自动结焦，自动熄灭。圆润厚实，弹性好，承受压力250kg。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4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</w:t>
      </w:r>
      <w:r>
        <w:rPr>
          <w:rFonts w:hint="eastAsia" w:ascii="仿宋" w:hAnsi="仿宋" w:eastAsia="仿宋" w:cs="仿宋"/>
          <w:sz w:val="32"/>
          <w:szCs w:val="32"/>
        </w:rPr>
        <w:t>国际优质麻绒要求：成份：聚丙烯；耐磨性：75000双层磨擦；耐光性：60小时，级数4级；不褪色性：干-5级，湿-5级；阻燃能力：符合国家抗阻燃标准；轻微紧张度：5+（BS1006（1900））。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4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</w:t>
      </w:r>
      <w:r>
        <w:rPr>
          <w:rFonts w:hint="eastAsia" w:ascii="仿宋" w:hAnsi="仿宋" w:eastAsia="仿宋" w:cs="仿宋"/>
          <w:sz w:val="32"/>
          <w:szCs w:val="32"/>
        </w:rPr>
        <w:t>五金配件：采用国际优质五金配件，标准不低于德国海福乐或BMB品牌（铰链、拉手、滑轨、锁等）。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13.</w:t>
      </w:r>
      <w:r>
        <w:rPr>
          <w:rFonts w:hint="eastAsia" w:ascii="仿宋" w:hAnsi="仿宋" w:eastAsia="仿宋" w:cs="仿宋"/>
          <w:sz w:val="32"/>
          <w:szCs w:val="32"/>
        </w:rPr>
        <w:t>提供原材料和产品的质量检验报告：必须由省级质检机构出具；检验报告有效期为一年；报告内容应包括对产品的外观、理化、力学方面。人造板家具还应包含由人造板制造厂家出具的游离甲醛释放量证书。</w:t>
      </w:r>
    </w:p>
    <w:p>
      <w:pPr>
        <w:keepNext w:val="0"/>
        <w:keepLines w:val="0"/>
        <w:pageBreakBefore w:val="0"/>
        <w:widowControl w:val="0"/>
        <w:tabs>
          <w:tab w:val="left" w:pos="588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bookmarkStart w:id="0" w:name="_Toc357161676"/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</w:pPr>
    </w:p>
    <w:p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ind w:right="360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right="360"/>
                      <w:jc w:val="center"/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8C4429"/>
    <w:multiLevelType w:val="multilevel"/>
    <w:tmpl w:val="2F8C4429"/>
    <w:lvl w:ilvl="0" w:tentative="0">
      <w:start w:val="0"/>
      <w:numFmt w:val="bullet"/>
      <w:suff w:val="nothing"/>
      <w:lvlText w:val="-"/>
      <w:lvlJc w:val="left"/>
      <w:pPr>
        <w:ind w:left="227" w:hanging="227"/>
      </w:pPr>
      <w:rPr>
        <w:rFonts w:hint="default" w:ascii="Times New Roman" w:hAnsi="Times New Roman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1560"/>
        </w:tabs>
        <w:ind w:left="15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980"/>
        </w:tabs>
        <w:ind w:left="19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400"/>
        </w:tabs>
        <w:ind w:left="24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820"/>
        </w:tabs>
        <w:ind w:left="28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240"/>
        </w:tabs>
        <w:ind w:left="32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660"/>
        </w:tabs>
        <w:ind w:left="36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4080"/>
        </w:tabs>
        <w:ind w:left="40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500"/>
        </w:tabs>
        <w:ind w:left="45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DC03E5"/>
    <w:rsid w:val="1EDC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2026-05-11T01:07:00Z</dcterms:created>
  <dc:creator>Administrator</dc:creator>
  <cp:lastModifiedBy>Administrator</cp:lastModifiedBy>
  <dcterms:modified xsi:type="dcterms:W3CDTF">2026-05-11T01:08:02Z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6FB10CDFB30047D9BB66F429DD318FAA</vt:lpwstr>
  </property>
</Properties>
</file>