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5880"/>
        </w:tabs>
        <w:kinsoku/>
        <w:wordWrap/>
        <w:overflowPunct/>
        <w:topLinePunct w:val="0"/>
        <w:autoSpaceDE/>
        <w:autoSpaceDN/>
        <w:bidi w:val="0"/>
        <w:adjustRightInd/>
        <w:snapToGrid/>
        <w:spacing w:line="560" w:lineRule="exact"/>
        <w:jc w:val="center"/>
        <w:textAlignment w:val="auto"/>
        <w:outlineLvl w:val="1"/>
        <w:rPr>
          <w:rFonts w:hint="eastAsia"/>
        </w:rPr>
      </w:pPr>
      <w:r>
        <w:rPr>
          <w:rFonts w:hint="eastAsia" w:ascii="宋体" w:hAnsi="宋体" w:eastAsia="宋体" w:cs="宋体"/>
          <w:b/>
          <w:sz w:val="44"/>
          <w:szCs w:val="44"/>
        </w:rPr>
        <w:t>服务要求说明书</w:t>
      </w:r>
    </w:p>
    <w:p>
      <w:pPr>
        <w:keepNext w:val="0"/>
        <w:keepLines w:val="0"/>
        <w:pageBreakBefore w:val="0"/>
        <w:widowControl w:val="0"/>
        <w:tabs>
          <w:tab w:val="left" w:pos="5880"/>
        </w:tabs>
        <w:kinsoku/>
        <w:wordWrap/>
        <w:overflowPunct/>
        <w:topLinePunct w:val="0"/>
        <w:autoSpaceDE/>
        <w:autoSpaceDN/>
        <w:bidi w:val="0"/>
        <w:adjustRightInd/>
        <w:snapToGrid/>
        <w:spacing w:line="560" w:lineRule="exact"/>
        <w:jc w:val="center"/>
        <w:textAlignment w:val="auto"/>
        <w:outlineLvl w:val="1"/>
        <w:rPr>
          <w:rFonts w:hint="eastAsia" w:ascii="仿宋_GB2312" w:eastAsia="仿宋_GB2312"/>
          <w:b/>
          <w:sz w:val="32"/>
          <w:szCs w:val="32"/>
        </w:rPr>
      </w:pPr>
    </w:p>
    <w:p>
      <w:pPr>
        <w:keepNext w:val="0"/>
        <w:keepLines w:val="0"/>
        <w:pageBreakBefore w:val="0"/>
        <w:widowControl w:val="0"/>
        <w:tabs>
          <w:tab w:val="left" w:pos="5880"/>
        </w:tabs>
        <w:kinsoku/>
        <w:wordWrap/>
        <w:overflowPunct/>
        <w:topLinePunct w:val="0"/>
        <w:autoSpaceDE/>
        <w:autoSpaceDN/>
        <w:bidi w:val="0"/>
        <w:adjustRightInd/>
        <w:snapToGrid/>
        <w:spacing w:line="560" w:lineRule="exact"/>
        <w:jc w:val="center"/>
        <w:textAlignment w:val="auto"/>
        <w:outlineLvl w:val="1"/>
        <w:rPr>
          <w:rFonts w:hint="eastAsia" w:ascii="仿宋_GB2312" w:eastAsia="仿宋_GB2312"/>
          <w:b/>
          <w:sz w:val="32"/>
          <w:szCs w:val="32"/>
        </w:rPr>
      </w:pPr>
      <w:r>
        <w:rPr>
          <w:rFonts w:hint="eastAsia" w:ascii="仿宋_GB2312" w:eastAsia="仿宋_GB2312"/>
          <w:b/>
          <w:sz w:val="32"/>
          <w:szCs w:val="32"/>
        </w:rPr>
        <w:t>第一部分 供货要求</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bookmarkStart w:id="0" w:name="_Toc195629609"/>
      <w:bookmarkStart w:id="1" w:name="_Toc176181316"/>
      <w:bookmarkStart w:id="2" w:name="_Toc261624399"/>
      <w:bookmarkStart w:id="3" w:name="_Toc349119412"/>
      <w:bookmarkStart w:id="4" w:name="_Toc283023526"/>
      <w:r>
        <w:rPr>
          <w:rFonts w:hint="eastAsia" w:ascii="仿宋_GB2312" w:eastAsia="仿宋_GB2312"/>
          <w:sz w:val="32"/>
          <w:szCs w:val="32"/>
        </w:rPr>
        <w:t>1中标单位必须理解招标人对所采购数量可能发生变更，中标单位必须承诺无论货物数量发生什么变化，在不改变合同其他实质性条款的前提下，按相同或更优惠的折扣率保证供货。</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bookmarkStart w:id="5" w:name="_Toc198270153"/>
      <w:r>
        <w:rPr>
          <w:rFonts w:hint="eastAsia" w:ascii="仿宋_GB2312" w:eastAsia="仿宋_GB2312"/>
          <w:sz w:val="32"/>
          <w:szCs w:val="32"/>
        </w:rPr>
        <w:t>2投标货物的现场交付</w:t>
      </w:r>
      <w:bookmarkEnd w:id="5"/>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2.1合同签订后，投标人按招标文件要求的交货期完成供货。</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2.2投标人负责将货物送达到招标人指定的地点。</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3投标人应向最终用户提供安装调试过程中的各种文档资料,以便招标人今后能掌握操作和维护方法。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bookmarkStart w:id="6" w:name="_Toc198270154"/>
      <w:r>
        <w:rPr>
          <w:rFonts w:hint="eastAsia" w:ascii="仿宋_GB2312" w:eastAsia="仿宋_GB2312"/>
          <w:sz w:val="32"/>
          <w:szCs w:val="32"/>
        </w:rPr>
        <w:t>4货物的运输及保险</w:t>
      </w:r>
      <w:bookmarkEnd w:id="6"/>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4.1投标货物的运输和保险由投标人负责。</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bookmarkStart w:id="7" w:name="_Toc198270155"/>
      <w:r>
        <w:rPr>
          <w:rFonts w:hint="eastAsia" w:ascii="仿宋_GB2312" w:eastAsia="仿宋_GB2312"/>
          <w:sz w:val="32"/>
          <w:szCs w:val="32"/>
        </w:rPr>
        <w:t>5验收</w:t>
      </w:r>
      <w:bookmarkEnd w:id="7"/>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投标人应向招标人、最终用户提供详细的供货清单，由招标人、最终用户确认。当货物到达用户指定的现场后，招标人、最终用户和投标人依据供货清单共同对货物进行检验，并对货物的数量、品质进行逐项检查。如发现所提供货物的品质和技术规范不符合合同要求、或有短缺、破损, 招标方有权要求投标方立即补发或更换。招标人有权委托家具质检单位（第三方）对家具成品进行抽样检测，如检验合格，检验费用</w:t>
      </w:r>
      <w:r>
        <w:rPr>
          <w:rFonts w:hint="eastAsia" w:ascii="仿宋_GB2312" w:eastAsia="仿宋_GB2312"/>
          <w:i/>
          <w:sz w:val="32"/>
          <w:szCs w:val="32"/>
          <w:u w:val="single"/>
        </w:rPr>
        <w:t>中标人</w:t>
      </w:r>
      <w:r>
        <w:rPr>
          <w:rFonts w:hint="eastAsia" w:ascii="仿宋_GB2312" w:eastAsia="仿宋_GB2312"/>
          <w:sz w:val="32"/>
          <w:szCs w:val="32"/>
        </w:rPr>
        <w:t>承担；如抽检不合格由投标人承担抽检费用以并按招标人规定的期限提供后期解决整治方案及并承担相应的费用，并对招标人的损失进行赔偿。</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u w:val="single"/>
        </w:rPr>
      </w:pPr>
      <w:r>
        <w:rPr>
          <w:rFonts w:hint="eastAsia" w:ascii="仿宋_GB2312" w:eastAsia="仿宋_GB2312"/>
          <w:sz w:val="32"/>
          <w:szCs w:val="32"/>
        </w:rPr>
        <w:t>为保证中标人交付的货物达到招标人的需求，在货物的生产过程中，招标人有权到货物的生产地或生产车间进行抽检，包括但不限于一下内容：生产招标人所需所用的材料与招标人需求的符合性；生产工艺；生产流程；环保标准等，投标人有义务向配合招标人招标人完成相应的抽检工作。</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货物调试达到技术规范书规定的指标务后，可进行验收测试。验收规范包括项目、指标、方式等。</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本项目供货期：签订合同生效</w:t>
      </w:r>
      <w:r>
        <w:rPr>
          <w:rFonts w:ascii="仿宋_GB2312" w:eastAsia="仿宋_GB2312"/>
          <w:sz w:val="32"/>
          <w:szCs w:val="32"/>
        </w:rPr>
        <w:t>后</w:t>
      </w:r>
      <w:r>
        <w:rPr>
          <w:rFonts w:hint="eastAsia" w:ascii="仿宋_GB2312" w:eastAsia="仿宋_GB2312"/>
          <w:sz w:val="32"/>
          <w:szCs w:val="32"/>
          <w:lang w:val="en-US" w:eastAsia="zh-CN"/>
        </w:rPr>
        <w:t>45个</w:t>
      </w:r>
      <w:r>
        <w:rPr>
          <w:rFonts w:hint="eastAsia" w:ascii="仿宋_GB2312" w:eastAsia="仿宋_GB2312"/>
          <w:sz w:val="32"/>
          <w:szCs w:val="32"/>
        </w:rPr>
        <w:t>自然日</w:t>
      </w:r>
      <w:r>
        <w:rPr>
          <w:rFonts w:ascii="仿宋_GB2312" w:eastAsia="仿宋_GB2312"/>
          <w:sz w:val="32"/>
          <w:szCs w:val="32"/>
        </w:rPr>
        <w:t>内</w:t>
      </w:r>
      <w:r>
        <w:rPr>
          <w:rFonts w:hint="eastAsia" w:ascii="仿宋_GB2312" w:eastAsia="仿宋_GB2312"/>
          <w:sz w:val="32"/>
          <w:szCs w:val="32"/>
        </w:rPr>
        <w:t>交货</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eastAsia="仿宋_GB2312"/>
          <w:sz w:val="32"/>
          <w:szCs w:val="32"/>
        </w:rPr>
      </w:pPr>
      <w:r>
        <w:rPr>
          <w:rFonts w:hint="eastAsia" w:ascii="仿宋_GB2312" w:eastAsia="仿宋_GB2312"/>
          <w:sz w:val="32"/>
          <w:szCs w:val="32"/>
        </w:rPr>
        <w:t>本项目保修期：</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以上</w:t>
      </w:r>
      <w:r>
        <w:rPr>
          <w:rFonts w:hint="eastAsia" w:ascii="仿宋_GB2312" w:eastAsia="仿宋_GB2312"/>
          <w:sz w:val="32"/>
          <w:szCs w:val="32"/>
        </w:rPr>
        <w:t>。</w:t>
      </w:r>
    </w:p>
    <w:bookmarkEnd w:id="0"/>
    <w:bookmarkEnd w:id="1"/>
    <w:bookmarkEnd w:id="2"/>
    <w:bookmarkEnd w:id="3"/>
    <w:bookmarkEnd w:id="4"/>
    <w:p>
      <w:pPr>
        <w:keepNext w:val="0"/>
        <w:keepLines w:val="0"/>
        <w:pageBreakBefore w:val="0"/>
        <w:widowControl w:val="0"/>
        <w:tabs>
          <w:tab w:val="left" w:pos="5880"/>
        </w:tabs>
        <w:kinsoku/>
        <w:wordWrap/>
        <w:overflowPunct/>
        <w:topLinePunct w:val="0"/>
        <w:autoSpaceDE/>
        <w:autoSpaceDN/>
        <w:bidi w:val="0"/>
        <w:adjustRightInd/>
        <w:snapToGrid/>
        <w:spacing w:line="560" w:lineRule="exact"/>
        <w:textAlignment w:val="auto"/>
        <w:outlineLvl w:val="1"/>
        <w:rPr>
          <w:rFonts w:ascii="仿宋_GB2312" w:eastAsia="仿宋_GB2312"/>
          <w:b/>
          <w:sz w:val="32"/>
          <w:szCs w:val="32"/>
        </w:rPr>
      </w:pPr>
    </w:p>
    <w:p>
      <w:pPr>
        <w:keepNext w:val="0"/>
        <w:keepLines w:val="0"/>
        <w:pageBreakBefore w:val="0"/>
        <w:widowControl w:val="0"/>
        <w:numPr>
          <w:ilvl w:val="0"/>
          <w:numId w:val="1"/>
        </w:numPr>
        <w:tabs>
          <w:tab w:val="left" w:pos="5880"/>
        </w:tabs>
        <w:kinsoku/>
        <w:wordWrap/>
        <w:overflowPunct/>
        <w:topLinePunct w:val="0"/>
        <w:autoSpaceDE/>
        <w:autoSpaceDN/>
        <w:bidi w:val="0"/>
        <w:adjustRightInd/>
        <w:snapToGrid/>
        <w:spacing w:line="560" w:lineRule="exact"/>
        <w:jc w:val="center"/>
        <w:textAlignment w:val="auto"/>
        <w:outlineLvl w:val="1"/>
        <w:rPr>
          <w:rFonts w:hint="eastAsia" w:ascii="仿宋_GB2312" w:eastAsia="仿宋_GB2312"/>
          <w:b/>
          <w:sz w:val="32"/>
          <w:szCs w:val="32"/>
        </w:rPr>
      </w:pPr>
      <w:bookmarkStart w:id="8" w:name="_Toc357161678"/>
      <w:r>
        <w:rPr>
          <w:rFonts w:hint="eastAsia" w:ascii="仿宋_GB2312" w:eastAsia="仿宋_GB2312"/>
          <w:b/>
          <w:sz w:val="32"/>
          <w:szCs w:val="32"/>
        </w:rPr>
        <w:t>售后服务要求</w:t>
      </w:r>
      <w:bookmarkEnd w:id="8"/>
    </w:p>
    <w:p>
      <w:pPr>
        <w:keepNext w:val="0"/>
        <w:keepLines w:val="0"/>
        <w:pageBreakBefore w:val="0"/>
        <w:widowControl w:val="0"/>
        <w:numPr>
          <w:ilvl w:val="0"/>
          <w:numId w:val="0"/>
        </w:numPr>
        <w:tabs>
          <w:tab w:val="left" w:pos="5880"/>
        </w:tabs>
        <w:kinsoku/>
        <w:wordWrap/>
        <w:overflowPunct/>
        <w:topLinePunct w:val="0"/>
        <w:autoSpaceDE/>
        <w:autoSpaceDN/>
        <w:bidi w:val="0"/>
        <w:adjustRightInd/>
        <w:snapToGrid/>
        <w:spacing w:line="560" w:lineRule="exact"/>
        <w:jc w:val="both"/>
        <w:textAlignment w:val="auto"/>
        <w:outlineLvl w:val="1"/>
        <w:rPr>
          <w:rFonts w:hint="eastAsia" w:ascii="仿宋_GB2312" w:eastAsia="仿宋_GB2312"/>
          <w:b/>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bookmarkStart w:id="9" w:name="_Toc198270158"/>
      <w:r>
        <w:rPr>
          <w:rFonts w:hint="eastAsia" w:ascii="仿宋_GB2312" w:eastAsia="仿宋_GB2312"/>
          <w:sz w:val="32"/>
          <w:szCs w:val="32"/>
        </w:rPr>
        <w:t>1对原厂商要求</w:t>
      </w:r>
      <w:bookmarkEnd w:id="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1.1产品厂商必须在北京具有完善的售后服务队伍，及时响应最终用户的服务要求。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1.2产品厂商在北京必须具有备品备件库。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1.3原厂商须提供所投货物</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以上</w:t>
      </w:r>
      <w:r>
        <w:rPr>
          <w:rFonts w:hint="eastAsia" w:ascii="仿宋_GB2312" w:eastAsia="仿宋_GB2312"/>
          <w:sz w:val="32"/>
          <w:szCs w:val="32"/>
        </w:rPr>
        <w:t>免费货物保修，保修内容包括组成投标货物的所有零部件；原厂商须至少提供所投货物</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以上</w:t>
      </w:r>
      <w:r>
        <w:rPr>
          <w:rFonts w:hint="eastAsia" w:ascii="仿宋_GB2312" w:eastAsia="仿宋_GB2312"/>
          <w:sz w:val="32"/>
          <w:szCs w:val="32"/>
        </w:rPr>
        <w:t>免费现场服务，服务内容包括故障诊断及零部件更换等。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1.4原厂商出具的保修和售后服务承诺证明。包括：服务时间、服务方式、保修时间、保修方式、保修内容等；原厂商在北京的产品维修服务站的准确名称、详细地址、联系人及联系电话等。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bookmarkStart w:id="10" w:name="_Toc198270159"/>
      <w:r>
        <w:rPr>
          <w:rFonts w:hint="eastAsia" w:ascii="仿宋_GB2312" w:eastAsia="仿宋_GB2312"/>
          <w:sz w:val="32"/>
          <w:szCs w:val="32"/>
        </w:rPr>
        <w:t>2对投标人要求</w:t>
      </w:r>
      <w:bookmarkEnd w:id="1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2.1投标人须至少提供一年7×24小时响应，2小时内响应，4小时内到场服务，在用户要求的响应时间内到达用户现场，及时排除故障，恢复正常运行或使用。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2.2投标人须向用户提供免费的技术支持及安装服务。原厂商提供的保修和服务无法兑现时，由投标人提供同质量的保修和服务。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2.3质量保证期结束后，投标人应为用户提供终身的维修服务，只收成本费。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2.4投标人必须提供售后服务承诺，内容包括：服务时间、服务方式、保修时间、保修方式、保修内容等。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bookmarkStart w:id="11" w:name="_Toc198270160"/>
      <w:r>
        <w:rPr>
          <w:rFonts w:hint="eastAsia" w:ascii="仿宋_GB2312" w:eastAsia="仿宋_GB2312"/>
          <w:sz w:val="32"/>
          <w:szCs w:val="32"/>
        </w:rPr>
        <w:t>3培训</w:t>
      </w:r>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lang w:eastAsia="zh-CN"/>
        </w:rPr>
        <w:sectPr>
          <w:footerReference r:id="rId3" w:type="default"/>
          <w:pgSz w:w="11906" w:h="16838"/>
          <w:pgMar w:top="1407" w:right="1276" w:bottom="1351" w:left="1418" w:header="851" w:footer="992" w:gutter="0"/>
          <w:pgBorders w:offsetFrom="page">
            <w:top w:val="none" w:sz="0" w:space="0"/>
            <w:left w:val="none" w:sz="0" w:space="0"/>
            <w:bottom w:val="none" w:sz="0" w:space="0"/>
            <w:right w:val="none" w:sz="0" w:space="0"/>
          </w:pgBorders>
          <w:cols w:space="720" w:num="1"/>
          <w:docGrid w:linePitch="312" w:charSpace="0"/>
        </w:sectPr>
      </w:pPr>
      <w:r>
        <w:rPr>
          <w:rFonts w:hint="eastAsia" w:ascii="仿宋_GB2312" w:eastAsia="仿宋_GB2312"/>
          <w:sz w:val="32"/>
          <w:szCs w:val="32"/>
        </w:rPr>
        <w:t>3.1投标人必须提供货物原厂商的技术培训服务，提供培训实施方案及培训大纲。包括但不限于：操作维护培训：包括货物的原理和技术性能、操作维护方法、安装调测、排除故障的一般流程和方</w:t>
      </w:r>
      <w:r>
        <w:rPr>
          <w:rFonts w:hint="eastAsia" w:ascii="仿宋_GB2312" w:eastAsia="仿宋_GB2312"/>
          <w:sz w:val="32"/>
          <w:szCs w:val="32"/>
          <w:lang w:eastAsia="zh-CN"/>
        </w:rPr>
        <w:t>法。</w:t>
      </w:r>
    </w:p>
    <w:p>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E67BBB"/>
    <w:multiLevelType w:val="singleLevel"/>
    <w:tmpl w:val="2CE67BBB"/>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32470"/>
    <w:rsid w:val="2DB32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b/>
      <w:bCs/>
      <w:kern w:val="44"/>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2026-05-11T01:08:00Z</dcterms:created>
  <dc:creator>Administrator</dc:creator>
  <cp:lastModifiedBy>Administrator</cp:lastModifiedBy>
  <dcterms:modified xsi:type="dcterms:W3CDTF">2026-05-11T01:08:50Z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BF06E09145AF4C559AAE86A9674D08DE</vt:lpwstr>
  </property>
</Properties>
</file>